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63" w:rsidRDefault="00EE54B2">
      <w:r>
        <w:rPr>
          <w:rFonts w:hint="eastAsia"/>
        </w:rPr>
        <w:t>更加规范化股份和内容广泛的合法的</w:t>
      </w:r>
    </w:p>
    <w:sectPr w:rsidR="00F46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A63" w:rsidRDefault="00F46A63" w:rsidP="00EE54B2">
      <w:r>
        <w:separator/>
      </w:r>
    </w:p>
  </w:endnote>
  <w:endnote w:type="continuationSeparator" w:id="1">
    <w:p w:rsidR="00F46A63" w:rsidRDefault="00F46A63" w:rsidP="00EE5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A63" w:rsidRDefault="00F46A63" w:rsidP="00EE54B2">
      <w:r>
        <w:separator/>
      </w:r>
    </w:p>
  </w:footnote>
  <w:footnote w:type="continuationSeparator" w:id="1">
    <w:p w:rsidR="00F46A63" w:rsidRDefault="00F46A63" w:rsidP="00EE5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4B2"/>
    <w:rsid w:val="00EE54B2"/>
    <w:rsid w:val="00F4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5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54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5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54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2016-05-31T12:37:00Z</dcterms:created>
  <dcterms:modified xsi:type="dcterms:W3CDTF">2016-05-31T12:37:00Z</dcterms:modified>
</cp:coreProperties>
</file>