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48D" w:rsidRDefault="00063D19">
      <w:pPr>
        <w:spacing w:line="360" w:lineRule="auto"/>
        <w:ind w:firstLineChars="200" w:firstLine="480"/>
        <w:sectPr w:rsidR="0022448D">
          <w:headerReference w:type="default" r:id="rId9"/>
          <w:footerReference w:type="default" r:id="rId10"/>
          <w:pgSz w:w="11906" w:h="16838"/>
          <w:pgMar w:top="1440" w:right="1800" w:bottom="1440" w:left="1800" w:header="851" w:footer="992" w:gutter="0"/>
          <w:cols w:space="0"/>
          <w:docGrid w:type="lines" w:linePitch="312"/>
        </w:sectPr>
      </w:pPr>
      <w:r>
        <w:rPr>
          <w:rFonts w:cs="Times New Roman" w:hint="eastAsia"/>
          <w:sz w:val="24"/>
        </w:rPr>
        <w:t>本发明公开了一种高温高盐非均质性油藏双重调驱体系及其应用，其制备方法包括以下步骤，以烷基</w:t>
      </w:r>
      <w:proofErr w:type="gramStart"/>
      <w:r>
        <w:rPr>
          <w:rFonts w:cs="Times New Roman" w:hint="eastAsia"/>
          <w:sz w:val="24"/>
        </w:rPr>
        <w:t>醇</w:t>
      </w:r>
      <w:proofErr w:type="gramEnd"/>
      <w:r>
        <w:rPr>
          <w:rFonts w:cs="Times New Roman" w:hint="eastAsia"/>
          <w:sz w:val="24"/>
        </w:rPr>
        <w:t>酰胺、</w:t>
      </w:r>
      <w:proofErr w:type="gramStart"/>
      <w:r>
        <w:rPr>
          <w:rFonts w:cs="Times New Roman" w:hint="eastAsia"/>
          <w:sz w:val="24"/>
        </w:rPr>
        <w:t>烷基酚聚氧乙烯醚</w:t>
      </w:r>
      <w:proofErr w:type="gramEnd"/>
      <w:r>
        <w:rPr>
          <w:rFonts w:cs="Times New Roman" w:hint="eastAsia"/>
          <w:sz w:val="24"/>
        </w:rPr>
        <w:t>磺酸盐、</w:t>
      </w:r>
      <w:r>
        <w:fldChar w:fldCharType="begin"/>
      </w:r>
      <w:r>
        <w:instrText xml:space="preserve"> HYPERLINK "</w:instrText>
      </w:r>
      <w:r>
        <w:instrText xml:space="preserve">http://www.baidu.com/link?url=X8kXPeYkS7oVqdWsZ53gB9GhYT_Cb6EhoR09ebqXvtB5xF9wBkDP28rrPybOzMiH66dtEmEZCGCMD9CfTcSjx82YbhBqGDZIK068GbPsGj-f5RxoTNXbnIg_xeHPdd2xpCdRiqgBvadLkhMi6P1kucRKAvRoKzbp9-4n6TYJJGu" \t "_blank" </w:instrText>
      </w:r>
      <w:r>
        <w:fldChar w:fldCharType="separate"/>
      </w:r>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r>
        <w:rPr>
          <w:rFonts w:cs="Times New Roman"/>
          <w:sz w:val="24"/>
        </w:rPr>
        <w:fldChar w:fldCharType="end"/>
      </w:r>
      <w:r>
        <w:rPr>
          <w:rFonts w:cs="Times New Roman" w:hint="eastAsia"/>
          <w:sz w:val="24"/>
        </w:rPr>
        <w:t>、丙烯酰胺、乙烯基吡咯</w:t>
      </w:r>
      <w:r>
        <w:rPr>
          <w:rFonts w:cs="Times New Roman" w:hint="eastAsia"/>
          <w:sz w:val="24"/>
        </w:rPr>
        <w:t>烷酮和去离子水制备水相溶液，</w:t>
      </w:r>
      <w:r>
        <w:rPr>
          <w:rFonts w:cs="Times New Roman" w:hint="eastAsia"/>
          <w:sz w:val="24"/>
        </w:rPr>
        <w:t>以油酸和油相制备油相溶液，将两者在惰性气体气氛以及引发剂的作用下混合反应制得，本发明制得的</w:t>
      </w:r>
      <w:r>
        <w:rPr>
          <w:rFonts w:cs="Times New Roman"/>
          <w:sz w:val="24"/>
        </w:rPr>
        <w:t>双重调驱体系</w:t>
      </w:r>
      <w:r>
        <w:rPr>
          <w:rFonts w:cs="Times New Roman" w:hint="eastAsia"/>
          <w:sz w:val="24"/>
        </w:rPr>
        <w:t>在应用于高温高盐非均质性油藏化学驱时，</w:t>
      </w:r>
      <w:r>
        <w:rPr>
          <w:rFonts w:cs="Times New Roman"/>
          <w:sz w:val="24"/>
        </w:rPr>
        <w:t>能够将油水界面张力降低至</w:t>
      </w:r>
      <w:r>
        <w:rPr>
          <w:rFonts w:ascii="Arial" w:hAnsi="Arial" w:cs="Arial"/>
          <w:sz w:val="24"/>
        </w:rPr>
        <w:t>10</w:t>
      </w:r>
      <w:r>
        <w:rPr>
          <w:rFonts w:ascii="Arial" w:hAnsi="Arial" w:cs="Arial"/>
          <w:sz w:val="24"/>
          <w:vertAlign w:val="superscript"/>
        </w:rPr>
        <w:t>-2</w:t>
      </w:r>
      <w:r>
        <w:rPr>
          <w:rFonts w:ascii="Arial" w:hAnsi="Arial" w:cs="Arial" w:hint="eastAsia"/>
          <w:sz w:val="24"/>
        </w:rPr>
        <w:t>～</w:t>
      </w:r>
      <w:r>
        <w:rPr>
          <w:rFonts w:ascii="Arial" w:hAnsi="Arial" w:cs="Arial"/>
          <w:sz w:val="24"/>
        </w:rPr>
        <w:t>10</w:t>
      </w:r>
      <w:r>
        <w:rPr>
          <w:rFonts w:ascii="Arial" w:hAnsi="Arial" w:cs="Arial"/>
          <w:sz w:val="24"/>
          <w:vertAlign w:val="superscript"/>
        </w:rPr>
        <w:t>-3</w:t>
      </w:r>
      <w:r>
        <w:rPr>
          <w:rFonts w:ascii="Arial" w:hAnsi="Arial" w:cs="Arial"/>
          <w:sz w:val="24"/>
        </w:rPr>
        <w:t>mN/m</w:t>
      </w:r>
      <w:r>
        <w:rPr>
          <w:rFonts w:cs="Times New Roman"/>
          <w:sz w:val="24"/>
        </w:rPr>
        <w:t>，在含水率低于</w:t>
      </w:r>
      <w:r>
        <w:rPr>
          <w:rFonts w:cs="Times New Roman" w:hint="eastAsia"/>
          <w:sz w:val="24"/>
        </w:rPr>
        <w:t>9</w:t>
      </w:r>
      <w:r>
        <w:rPr>
          <w:rFonts w:cs="Times New Roman"/>
          <w:sz w:val="24"/>
        </w:rPr>
        <w:t>0%</w:t>
      </w:r>
      <w:r>
        <w:rPr>
          <w:rFonts w:cs="Times New Roman"/>
          <w:sz w:val="24"/>
        </w:rPr>
        <w:t>时，双重调控体系能够乳化原油形成油包水</w:t>
      </w:r>
      <w:r>
        <w:rPr>
          <w:rFonts w:cs="Times New Roman" w:hint="eastAsia"/>
          <w:sz w:val="24"/>
        </w:rPr>
        <w:t>乳状液，</w:t>
      </w:r>
      <w:r>
        <w:rPr>
          <w:rFonts w:cs="Times New Roman" w:hint="eastAsia"/>
          <w:sz w:val="24"/>
        </w:rPr>
        <w:t>其</w:t>
      </w:r>
      <w:r>
        <w:rPr>
          <w:rFonts w:cs="Times New Roman"/>
          <w:sz w:val="24"/>
        </w:rPr>
        <w:t>黏度</w:t>
      </w:r>
      <w:r>
        <w:rPr>
          <w:rFonts w:cs="Times New Roman" w:hint="eastAsia"/>
          <w:sz w:val="24"/>
        </w:rPr>
        <w:t>均</w:t>
      </w:r>
      <w:r>
        <w:rPr>
          <w:rFonts w:cs="Times New Roman"/>
          <w:sz w:val="24"/>
        </w:rPr>
        <w:t>高于地下原油黏度</w:t>
      </w:r>
      <w:r>
        <w:rPr>
          <w:rFonts w:cs="Times New Roman" w:hint="eastAsia"/>
          <w:sz w:val="24"/>
        </w:rPr>
        <w:t>；</w:t>
      </w:r>
      <w:r>
        <w:rPr>
          <w:rFonts w:cs="Times New Roman"/>
          <w:sz w:val="24"/>
        </w:rPr>
        <w:t>乳状液的液滴尺寸可控，</w:t>
      </w:r>
      <w:proofErr w:type="gramStart"/>
      <w:r>
        <w:rPr>
          <w:rFonts w:cs="Times New Roman"/>
          <w:sz w:val="24"/>
        </w:rPr>
        <w:t>通过贾敏效应</w:t>
      </w:r>
      <w:proofErr w:type="gramEnd"/>
      <w:r>
        <w:rPr>
          <w:rFonts w:cs="Times New Roman"/>
          <w:sz w:val="24"/>
        </w:rPr>
        <w:t>改善储层非均质性，同时与微球耦合调控，显著提高高温高盐非均质性油藏采收率</w:t>
      </w:r>
      <w:r>
        <w:rPr>
          <w:rFonts w:cs="Times New Roman" w:hint="eastAsia"/>
          <w:sz w:val="24"/>
        </w:rPr>
        <w:t>。</w:t>
      </w:r>
    </w:p>
    <w:p w:rsidR="0022448D" w:rsidRDefault="0022448D">
      <w:pPr>
        <w:jc w:val="center"/>
      </w:pPr>
    </w:p>
    <w:p w:rsidR="0022448D" w:rsidRDefault="00063D19">
      <w:pPr>
        <w:jc w:val="center"/>
        <w:sectPr w:rsidR="0022448D">
          <w:headerReference w:type="default" r:id="rId11"/>
          <w:footerReference w:type="default" r:id="rId12"/>
          <w:pgSz w:w="11906" w:h="16838"/>
          <w:pgMar w:top="1440" w:right="1800" w:bottom="1440" w:left="1800" w:header="851" w:footer="992" w:gutter="0"/>
          <w:pgNumType w:start="1"/>
          <w:cols w:space="0"/>
          <w:docGrid w:type="lines" w:linePitch="312"/>
        </w:sectPr>
      </w:pPr>
      <w:r>
        <w:rPr>
          <w:rFonts w:hint="eastAsia"/>
          <w:noProof/>
        </w:rPr>
        <w:drawing>
          <wp:inline distT="0" distB="0" distL="114300" distR="114300">
            <wp:extent cx="5196840" cy="3669030"/>
            <wp:effectExtent l="0" t="0" r="3810" b="7620"/>
            <wp:docPr id="16" name="图片 1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2"/>
                    <pic:cNvPicPr>
                      <a:picLocks noChangeAspect="1"/>
                    </pic:cNvPicPr>
                  </pic:nvPicPr>
                  <pic:blipFill>
                    <a:blip r:embed="rId13">
                      <a:grayscl/>
                    </a:blip>
                    <a:srcRect l="603" t="1045" r="759" b="3102"/>
                    <a:stretch>
                      <a:fillRect/>
                    </a:stretch>
                  </pic:blipFill>
                  <pic:spPr>
                    <a:xfrm>
                      <a:off x="0" y="0"/>
                      <a:ext cx="5196840" cy="3669030"/>
                    </a:xfrm>
                    <a:prstGeom prst="rect">
                      <a:avLst/>
                    </a:prstGeom>
                  </pic:spPr>
                </pic:pic>
              </a:graphicData>
            </a:graphic>
          </wp:inline>
        </w:drawing>
      </w:r>
    </w:p>
    <w:p w:rsidR="0022448D" w:rsidRDefault="00063D19">
      <w:pPr>
        <w:numPr>
          <w:ilvl w:val="0"/>
          <w:numId w:val="1"/>
        </w:numPr>
        <w:spacing w:line="360" w:lineRule="auto"/>
        <w:ind w:firstLineChars="200" w:firstLine="480"/>
        <w:rPr>
          <w:rFonts w:cs="Times New Roman"/>
          <w:sz w:val="24"/>
        </w:rPr>
      </w:pPr>
      <w:r>
        <w:rPr>
          <w:rFonts w:cs="Times New Roman"/>
          <w:sz w:val="24"/>
        </w:rPr>
        <w:lastRenderedPageBreak/>
        <w:t>一种高温高盐非均质性油藏双重调驱体系</w:t>
      </w:r>
      <w:r>
        <w:rPr>
          <w:rFonts w:cs="Times New Roman" w:hint="eastAsia"/>
          <w:sz w:val="24"/>
        </w:rPr>
        <w:t>，其特征在于，以质量百分比计，采用包括以下原料制成：</w:t>
      </w:r>
    </w:p>
    <w:p w:rsidR="0022448D" w:rsidRDefault="00063D19">
      <w:pPr>
        <w:numPr>
          <w:ilvl w:val="0"/>
          <w:numId w:val="2"/>
        </w:numPr>
        <w:spacing w:line="360" w:lineRule="auto"/>
        <w:ind w:firstLineChars="200" w:firstLine="480"/>
        <w:rPr>
          <w:rFonts w:cs="Times New Roman"/>
          <w:sz w:val="24"/>
        </w:rPr>
      </w:pPr>
      <w:r>
        <w:rPr>
          <w:rFonts w:cs="Times New Roman"/>
          <w:sz w:val="24"/>
        </w:rPr>
        <w:t>油相：</w:t>
      </w:r>
      <w:r>
        <w:rPr>
          <w:rFonts w:cs="Times New Roman"/>
          <w:sz w:val="24"/>
        </w:rPr>
        <w:t>40%</w:t>
      </w:r>
      <w:r>
        <w:rPr>
          <w:rFonts w:cs="Times New Roman" w:hint="eastAsia"/>
          <w:sz w:val="24"/>
        </w:rPr>
        <w:t>～</w:t>
      </w:r>
      <w:r>
        <w:rPr>
          <w:rFonts w:cs="Times New Roman"/>
          <w:sz w:val="24"/>
        </w:rPr>
        <w:t>70%</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油酸：</w:t>
      </w:r>
      <w:r>
        <w:rPr>
          <w:rFonts w:cs="Times New Roman"/>
          <w:sz w:val="24"/>
        </w:rPr>
        <w:t>0.5%</w:t>
      </w:r>
      <w:r>
        <w:rPr>
          <w:rFonts w:cs="Times New Roman" w:hint="eastAsia"/>
          <w:sz w:val="24"/>
        </w:rPr>
        <w:t>～</w:t>
      </w:r>
      <w:r>
        <w:rPr>
          <w:rFonts w:cs="Times New Roman"/>
          <w:sz w:val="24"/>
        </w:rPr>
        <w:t>2%</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b</w:t>
      </w:r>
      <w:r>
        <w:rPr>
          <w:rFonts w:cs="Times New Roman" w:hint="eastAsia"/>
          <w:sz w:val="24"/>
        </w:rPr>
        <w:t>、水溶性单体：</w:t>
      </w:r>
    </w:p>
    <w:p w:rsidR="0022448D" w:rsidRDefault="00063D19">
      <w:pPr>
        <w:spacing w:line="360" w:lineRule="auto"/>
        <w:ind w:firstLineChars="300" w:firstLine="720"/>
        <w:rPr>
          <w:rFonts w:cs="Times New Roman"/>
          <w:sz w:val="24"/>
        </w:rPr>
      </w:pPr>
      <w:r>
        <w:rPr>
          <w:rFonts w:cs="Times New Roman"/>
          <w:sz w:val="24"/>
        </w:rPr>
        <w:t>烷基</w:t>
      </w:r>
      <w:proofErr w:type="gramStart"/>
      <w:r>
        <w:rPr>
          <w:rFonts w:cs="Times New Roman"/>
          <w:sz w:val="24"/>
        </w:rPr>
        <w:t>醇</w:t>
      </w:r>
      <w:proofErr w:type="gramEnd"/>
      <w:r>
        <w:rPr>
          <w:rFonts w:cs="Times New Roman"/>
          <w:sz w:val="24"/>
        </w:rPr>
        <w:t>酰胺：</w:t>
      </w:r>
      <w:r>
        <w:rPr>
          <w:rFonts w:cs="Times New Roman"/>
          <w:sz w:val="24"/>
        </w:rPr>
        <w:t>6%</w:t>
      </w:r>
      <w:r>
        <w:rPr>
          <w:rFonts w:ascii="宋体" w:eastAsia="宋体" w:hAnsi="宋体" w:cs="宋体" w:hint="eastAsia"/>
          <w:sz w:val="24"/>
        </w:rPr>
        <w:t>～</w:t>
      </w:r>
      <w:r>
        <w:rPr>
          <w:rFonts w:cs="Times New Roman"/>
          <w:sz w:val="24"/>
        </w:rPr>
        <w:t>8%</w:t>
      </w:r>
      <w:r>
        <w:rPr>
          <w:rFonts w:cs="Times New Roman" w:hint="eastAsia"/>
          <w:sz w:val="24"/>
        </w:rPr>
        <w:t>，</w:t>
      </w:r>
    </w:p>
    <w:p w:rsidR="0022448D" w:rsidRDefault="00063D19">
      <w:pPr>
        <w:spacing w:line="360" w:lineRule="auto"/>
        <w:ind w:firstLineChars="300" w:firstLine="720"/>
        <w:rPr>
          <w:rFonts w:cs="Times New Roman"/>
          <w:sz w:val="24"/>
        </w:rPr>
      </w:pPr>
      <w:proofErr w:type="gramStart"/>
      <w:r>
        <w:rPr>
          <w:rFonts w:cs="Times New Roman"/>
          <w:sz w:val="24"/>
        </w:rPr>
        <w:t>烷基酚聚氧乙烯醚</w:t>
      </w:r>
      <w:proofErr w:type="gramEnd"/>
      <w:r>
        <w:rPr>
          <w:rFonts w:cs="Times New Roman"/>
          <w:sz w:val="24"/>
        </w:rPr>
        <w:t>磺酸盐表面活性剂：</w:t>
      </w:r>
      <w:r>
        <w:rPr>
          <w:rFonts w:cs="Times New Roman"/>
          <w:sz w:val="24"/>
        </w:rPr>
        <w:t>1%</w:t>
      </w:r>
      <w:r>
        <w:rPr>
          <w:rFonts w:ascii="宋体" w:eastAsia="宋体" w:hAnsi="宋体" w:cs="宋体" w:hint="eastAsia"/>
          <w:sz w:val="24"/>
        </w:rPr>
        <w:t>～</w:t>
      </w:r>
      <w:r>
        <w:rPr>
          <w:rFonts w:cs="Times New Roman"/>
          <w:sz w:val="24"/>
        </w:rPr>
        <w:t>2%</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丙烯酰胺：</w:t>
      </w:r>
      <w:r>
        <w:rPr>
          <w:rFonts w:cs="Times New Roman"/>
          <w:sz w:val="24"/>
        </w:rPr>
        <w:t>1</w:t>
      </w:r>
      <w:r>
        <w:rPr>
          <w:rFonts w:cs="Times New Roman" w:hint="eastAsia"/>
          <w:sz w:val="24"/>
        </w:rPr>
        <w:t>0</w:t>
      </w:r>
      <w:r>
        <w:rPr>
          <w:rFonts w:cs="Times New Roman"/>
          <w:sz w:val="24"/>
        </w:rPr>
        <w:t>%</w:t>
      </w:r>
      <w:r>
        <w:rPr>
          <w:rFonts w:ascii="宋体" w:eastAsia="宋体" w:hAnsi="宋体" w:cs="宋体" w:hint="eastAsia"/>
          <w:sz w:val="24"/>
        </w:rPr>
        <w:t>～</w:t>
      </w:r>
      <w:r>
        <w:rPr>
          <w:rFonts w:cs="Times New Roman" w:hint="eastAsia"/>
          <w:sz w:val="24"/>
        </w:rPr>
        <w:t>20</w:t>
      </w:r>
      <w:r>
        <w:rPr>
          <w:rFonts w:cs="Times New Roman"/>
          <w:sz w:val="24"/>
        </w:rPr>
        <w:t>%</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乙烯基吡咯烷酮：</w:t>
      </w:r>
      <w:r>
        <w:rPr>
          <w:rFonts w:cs="Times New Roman"/>
          <w:sz w:val="24"/>
        </w:rPr>
        <w:t>1%</w:t>
      </w:r>
      <w:r>
        <w:rPr>
          <w:rFonts w:ascii="宋体" w:eastAsia="宋体" w:hAnsi="宋体" w:cs="宋体" w:hint="eastAsia"/>
          <w:sz w:val="24"/>
        </w:rPr>
        <w:t>～</w:t>
      </w:r>
      <w:r>
        <w:rPr>
          <w:rFonts w:cs="Times New Roman"/>
          <w:sz w:val="24"/>
        </w:rPr>
        <w:t>3%</w:t>
      </w:r>
      <w:r>
        <w:rPr>
          <w:rFonts w:cs="Times New Roman" w:hint="eastAsia"/>
          <w:sz w:val="24"/>
        </w:rPr>
        <w:t>，</w:t>
      </w:r>
    </w:p>
    <w:p w:rsidR="0022448D" w:rsidRDefault="00063D19">
      <w:pPr>
        <w:spacing w:line="360" w:lineRule="auto"/>
        <w:ind w:firstLineChars="300" w:firstLine="630"/>
        <w:rPr>
          <w:rFonts w:cs="Times New Roman"/>
          <w:sz w:val="24"/>
        </w:rPr>
      </w:pPr>
      <w:hyperlink r:id="rId14" w:tgtFrame="_blank" w:history="1">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hyperlink>
      <w:r>
        <w:rPr>
          <w:rFonts w:cs="Times New Roman"/>
          <w:sz w:val="24"/>
        </w:rPr>
        <w:t>：</w:t>
      </w:r>
      <w:r>
        <w:rPr>
          <w:rFonts w:cs="Times New Roman" w:hint="eastAsia"/>
          <w:sz w:val="24"/>
        </w:rPr>
        <w:t>水溶性单体总质量的</w:t>
      </w:r>
      <w:r>
        <w:rPr>
          <w:rFonts w:cs="Times New Roman"/>
          <w:sz w:val="24"/>
        </w:rPr>
        <w:t>0.1%</w:t>
      </w:r>
      <w:r>
        <w:rPr>
          <w:rFonts w:ascii="宋体" w:eastAsia="宋体" w:hAnsi="宋体" w:cs="宋体" w:hint="eastAsia"/>
          <w:sz w:val="24"/>
        </w:rPr>
        <w:t>～</w:t>
      </w:r>
      <w:r>
        <w:rPr>
          <w:rFonts w:cs="Times New Roman"/>
          <w:sz w:val="24"/>
        </w:rPr>
        <w:t>0.4%</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c</w:t>
      </w:r>
      <w:r>
        <w:rPr>
          <w:rFonts w:cs="Times New Roman" w:hint="eastAsia"/>
          <w:sz w:val="24"/>
        </w:rPr>
        <w:t>、</w:t>
      </w:r>
      <w:r>
        <w:rPr>
          <w:rFonts w:cs="Times New Roman"/>
          <w:sz w:val="24"/>
        </w:rPr>
        <w:t>引发</w:t>
      </w:r>
      <w:r>
        <w:rPr>
          <w:rFonts w:cs="Times New Roman"/>
          <w:sz w:val="24"/>
        </w:rPr>
        <w:t>剂：</w:t>
      </w:r>
      <w:r>
        <w:rPr>
          <w:rFonts w:cs="Times New Roman" w:hint="eastAsia"/>
          <w:sz w:val="24"/>
        </w:rPr>
        <w:t>水溶性单体总质量的</w:t>
      </w:r>
      <w:r>
        <w:rPr>
          <w:rFonts w:cs="Times New Roman"/>
          <w:sz w:val="24"/>
        </w:rPr>
        <w:t>0.01%</w:t>
      </w:r>
      <w:r>
        <w:rPr>
          <w:rFonts w:ascii="宋体" w:eastAsia="宋体" w:hAnsi="宋体" w:cs="宋体" w:hint="eastAsia"/>
          <w:sz w:val="24"/>
        </w:rPr>
        <w:t>～</w:t>
      </w:r>
      <w:r>
        <w:rPr>
          <w:rFonts w:cs="Times New Roman"/>
          <w:sz w:val="24"/>
        </w:rPr>
        <w:t>0.05%</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d</w:t>
      </w:r>
      <w:r>
        <w:rPr>
          <w:rFonts w:cs="Times New Roman" w:hint="eastAsia"/>
          <w:sz w:val="24"/>
        </w:rPr>
        <w:t>、其余为去离子水；</w:t>
      </w:r>
    </w:p>
    <w:p w:rsidR="0022448D" w:rsidRDefault="00063D19">
      <w:pPr>
        <w:spacing w:line="360" w:lineRule="auto"/>
        <w:ind w:firstLineChars="200" w:firstLine="480"/>
        <w:rPr>
          <w:rFonts w:cs="Times New Roman"/>
          <w:sz w:val="24"/>
        </w:rPr>
      </w:pPr>
      <w:r>
        <w:rPr>
          <w:rFonts w:cs="Times New Roman" w:hint="eastAsia"/>
          <w:sz w:val="24"/>
        </w:rPr>
        <w:t>所述调驱体系的制备步骤如下：以烷基</w:t>
      </w:r>
      <w:proofErr w:type="gramStart"/>
      <w:r>
        <w:rPr>
          <w:rFonts w:cs="Times New Roman" w:hint="eastAsia"/>
          <w:sz w:val="24"/>
        </w:rPr>
        <w:t>醇</w:t>
      </w:r>
      <w:proofErr w:type="gramEnd"/>
      <w:r>
        <w:rPr>
          <w:rFonts w:cs="Times New Roman" w:hint="eastAsia"/>
          <w:sz w:val="24"/>
        </w:rPr>
        <w:t>酰胺、</w:t>
      </w:r>
      <w:proofErr w:type="gramStart"/>
      <w:r>
        <w:rPr>
          <w:rFonts w:cs="Times New Roman" w:hint="eastAsia"/>
          <w:sz w:val="24"/>
        </w:rPr>
        <w:t>烷基酚聚氧乙烯醚</w:t>
      </w:r>
      <w:proofErr w:type="gramEnd"/>
      <w:r>
        <w:rPr>
          <w:rFonts w:cs="Times New Roman" w:hint="eastAsia"/>
          <w:sz w:val="24"/>
        </w:rPr>
        <w:t>磺酸盐、</w:t>
      </w:r>
      <w:hyperlink r:id="rId15" w:tgtFrame="_blank" w:history="1">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hyperlink>
      <w:r>
        <w:rPr>
          <w:rFonts w:cs="Times New Roman" w:hint="eastAsia"/>
          <w:sz w:val="24"/>
        </w:rPr>
        <w:t>、丙烯酰胺、乙烯基吡咯烷酮和去离子水制备水相溶液，以油酸和油相制备油相溶液，将两者在惰性气体气氛以及引发剂的作用下反应制得。</w:t>
      </w:r>
    </w:p>
    <w:p w:rsidR="0022448D" w:rsidRDefault="00063D19">
      <w:pPr>
        <w:numPr>
          <w:ilvl w:val="0"/>
          <w:numId w:val="1"/>
        </w:numPr>
        <w:spacing w:line="360" w:lineRule="auto"/>
        <w:ind w:firstLineChars="200" w:firstLine="480"/>
        <w:rPr>
          <w:rFonts w:cs="Times New Roman"/>
          <w:sz w:val="24"/>
        </w:rPr>
      </w:pPr>
      <w:r>
        <w:rPr>
          <w:rFonts w:cs="Times New Roman" w:hint="eastAsia"/>
          <w:sz w:val="24"/>
        </w:rPr>
        <w:t>根据权利要求</w:t>
      </w:r>
      <w:r>
        <w:rPr>
          <w:rFonts w:cs="Times New Roman" w:hint="eastAsia"/>
          <w:sz w:val="24"/>
        </w:rPr>
        <w:t>1</w:t>
      </w:r>
      <w:r>
        <w:rPr>
          <w:rFonts w:cs="Times New Roman" w:hint="eastAsia"/>
          <w:sz w:val="24"/>
        </w:rPr>
        <w:t>所述的</w:t>
      </w:r>
      <w:r>
        <w:rPr>
          <w:rFonts w:cs="Times New Roman"/>
          <w:sz w:val="24"/>
        </w:rPr>
        <w:t>一种高温高盐非均质性油藏双重调驱体系</w:t>
      </w:r>
      <w:r>
        <w:rPr>
          <w:rFonts w:cs="Times New Roman" w:hint="eastAsia"/>
          <w:sz w:val="24"/>
        </w:rPr>
        <w:t>，其特征在于，所述引发剂为偶氮二异丁</w:t>
      </w:r>
      <w:proofErr w:type="gramStart"/>
      <w:r>
        <w:rPr>
          <w:rFonts w:cs="Times New Roman" w:hint="eastAsia"/>
          <w:sz w:val="24"/>
        </w:rPr>
        <w:t>脒</w:t>
      </w:r>
      <w:proofErr w:type="gramEnd"/>
      <w:r>
        <w:rPr>
          <w:rFonts w:cs="Times New Roman" w:hint="eastAsia"/>
          <w:sz w:val="24"/>
        </w:rPr>
        <w:t>盐酸盐，所述油相为煤油、白油、柴油中的至少一种，所述惰性气体为</w:t>
      </w:r>
      <w:r>
        <w:rPr>
          <w:rFonts w:cs="Times New Roman"/>
        </w:rPr>
        <w:t>氦</w:t>
      </w:r>
      <w:r>
        <w:rPr>
          <w:rFonts w:cs="Times New Roman" w:hint="eastAsia"/>
          <w:sz w:val="24"/>
        </w:rPr>
        <w:t>气、氮气或氩气中的一种。</w:t>
      </w:r>
    </w:p>
    <w:p w:rsidR="0022448D" w:rsidRDefault="00063D19">
      <w:pPr>
        <w:numPr>
          <w:ilvl w:val="0"/>
          <w:numId w:val="1"/>
        </w:numPr>
        <w:spacing w:line="360" w:lineRule="auto"/>
        <w:ind w:firstLineChars="200" w:firstLine="480"/>
        <w:rPr>
          <w:rFonts w:cs="Times New Roman"/>
          <w:sz w:val="24"/>
        </w:rPr>
      </w:pPr>
      <w:r>
        <w:rPr>
          <w:rFonts w:cs="Times New Roman" w:hint="eastAsia"/>
          <w:sz w:val="24"/>
        </w:rPr>
        <w:t>根据权利要求</w:t>
      </w:r>
      <w:r>
        <w:rPr>
          <w:rFonts w:cs="Times New Roman" w:hint="eastAsia"/>
          <w:sz w:val="24"/>
        </w:rPr>
        <w:t>1</w:t>
      </w:r>
      <w:r>
        <w:rPr>
          <w:rFonts w:cs="Times New Roman" w:hint="eastAsia"/>
          <w:sz w:val="24"/>
        </w:rPr>
        <w:t>所述的</w:t>
      </w:r>
      <w:r>
        <w:rPr>
          <w:rFonts w:cs="Times New Roman"/>
          <w:sz w:val="24"/>
        </w:rPr>
        <w:t>一种高温高盐非均质性油藏双重调驱体系</w:t>
      </w:r>
      <w:r>
        <w:rPr>
          <w:rFonts w:cs="Times New Roman" w:hint="eastAsia"/>
          <w:sz w:val="24"/>
        </w:rPr>
        <w:t>，其特征在于，所述的烷基</w:t>
      </w:r>
      <w:proofErr w:type="gramStart"/>
      <w:r>
        <w:rPr>
          <w:rFonts w:cs="Times New Roman" w:hint="eastAsia"/>
          <w:sz w:val="24"/>
        </w:rPr>
        <w:t>醇</w:t>
      </w:r>
      <w:proofErr w:type="gramEnd"/>
      <w:r>
        <w:rPr>
          <w:rFonts w:cs="Times New Roman" w:hint="eastAsia"/>
          <w:sz w:val="24"/>
        </w:rPr>
        <w:t>酰胺</w:t>
      </w:r>
      <w:r>
        <w:rPr>
          <w:rFonts w:cs="Times New Roman"/>
          <w:sz w:val="24"/>
        </w:rPr>
        <w:t>结构</w:t>
      </w:r>
      <w:r>
        <w:rPr>
          <w:rFonts w:cs="Times New Roman" w:hint="eastAsia"/>
          <w:sz w:val="24"/>
        </w:rPr>
        <w:t>简</w:t>
      </w:r>
      <w:r>
        <w:rPr>
          <w:rFonts w:cs="Times New Roman"/>
          <w:sz w:val="24"/>
        </w:rPr>
        <w:t>式</w:t>
      </w:r>
      <w:r>
        <w:rPr>
          <w:rFonts w:cs="Times New Roman" w:hint="eastAsia"/>
          <w:sz w:val="24"/>
        </w:rPr>
        <w:t>为：</w:t>
      </w:r>
    </w:p>
    <w:p w:rsidR="0022448D" w:rsidRDefault="00063D19">
      <w:pPr>
        <w:spacing w:line="360" w:lineRule="auto"/>
        <w:ind w:leftChars="200" w:left="420"/>
        <w:jc w:val="center"/>
        <w:rPr>
          <w:rFonts w:cs="Times New Roman"/>
        </w:rPr>
      </w:pPr>
      <w:r>
        <w:rPr>
          <w:rFonts w:cs="Times New Roman"/>
        </w:rPr>
        <w:object w:dxaOrig="2963"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5pt;height:15.75pt" o:ole="">
            <v:imagedata r:id="rId16" o:title=""/>
          </v:shape>
          <o:OLEObject Type="Embed" ProgID="ChemDraw.Document.6.0" ShapeID="_x0000_i1025" DrawAspect="Content" ObjectID="_1618659092" r:id="rId17"/>
        </w:object>
      </w:r>
    </w:p>
    <w:p w:rsidR="0022448D" w:rsidRDefault="00063D19">
      <w:pPr>
        <w:spacing w:line="360" w:lineRule="auto"/>
        <w:ind w:firstLineChars="200" w:firstLine="480"/>
        <w:rPr>
          <w:rFonts w:cs="Times New Roman"/>
          <w:sz w:val="24"/>
        </w:rPr>
      </w:pPr>
      <w:r>
        <w:rPr>
          <w:rFonts w:cs="Times New Roman" w:hint="eastAsia"/>
          <w:sz w:val="24"/>
        </w:rPr>
        <w:t>其中，</w:t>
      </w:r>
      <w:r>
        <w:rPr>
          <w:rFonts w:cs="Times New Roman" w:hint="eastAsia"/>
          <w:sz w:val="24"/>
        </w:rPr>
        <w:t>n</w:t>
      </w:r>
      <w:r>
        <w:rPr>
          <w:rFonts w:cs="Times New Roman" w:hint="eastAsia"/>
          <w:sz w:val="24"/>
        </w:rPr>
        <w:t>为</w:t>
      </w:r>
      <w:r>
        <w:rPr>
          <w:rFonts w:cs="Times New Roman" w:hint="eastAsia"/>
          <w:sz w:val="24"/>
        </w:rPr>
        <w:t>11</w:t>
      </w:r>
      <w:r>
        <w:rPr>
          <w:rFonts w:cs="Times New Roman" w:hint="eastAsia"/>
          <w:sz w:val="24"/>
        </w:rPr>
        <w:t>～</w:t>
      </w:r>
      <w:r>
        <w:rPr>
          <w:rFonts w:cs="Times New Roman" w:hint="eastAsia"/>
          <w:sz w:val="24"/>
        </w:rPr>
        <w:t>15</w:t>
      </w:r>
      <w:r>
        <w:rPr>
          <w:rFonts w:cs="Times New Roman" w:hint="eastAsia"/>
          <w:sz w:val="24"/>
        </w:rPr>
        <w:t>。</w:t>
      </w:r>
    </w:p>
    <w:p w:rsidR="0022448D" w:rsidRDefault="00063D19">
      <w:pPr>
        <w:numPr>
          <w:ilvl w:val="0"/>
          <w:numId w:val="1"/>
        </w:numPr>
        <w:spacing w:line="360" w:lineRule="auto"/>
        <w:ind w:firstLineChars="200" w:firstLine="480"/>
        <w:rPr>
          <w:rFonts w:cs="Times New Roman"/>
          <w:sz w:val="24"/>
        </w:rPr>
      </w:pPr>
      <w:r>
        <w:rPr>
          <w:rFonts w:cs="Times New Roman" w:hint="eastAsia"/>
          <w:sz w:val="24"/>
        </w:rPr>
        <w:t>根据权利要求</w:t>
      </w:r>
      <w:r>
        <w:rPr>
          <w:rFonts w:cs="Times New Roman" w:hint="eastAsia"/>
          <w:sz w:val="24"/>
        </w:rPr>
        <w:t>1</w:t>
      </w:r>
      <w:r>
        <w:rPr>
          <w:rFonts w:cs="Times New Roman" w:hint="eastAsia"/>
          <w:sz w:val="24"/>
        </w:rPr>
        <w:t>所述的</w:t>
      </w:r>
      <w:r>
        <w:rPr>
          <w:rFonts w:cs="Times New Roman"/>
          <w:sz w:val="24"/>
        </w:rPr>
        <w:t>一种高温高盐非均质性油藏双重调驱体系</w:t>
      </w:r>
      <w:r>
        <w:rPr>
          <w:rFonts w:cs="Times New Roman" w:hint="eastAsia"/>
          <w:sz w:val="24"/>
        </w:rPr>
        <w:t>，其特征在于，所述</w:t>
      </w:r>
      <w:r>
        <w:rPr>
          <w:rFonts w:cs="Times New Roman"/>
          <w:sz w:val="24"/>
        </w:rPr>
        <w:t>烷基酚聚氧乙烯醚磺酸盐</w:t>
      </w:r>
      <w:r>
        <w:rPr>
          <w:rFonts w:cs="Times New Roman" w:hint="eastAsia"/>
          <w:sz w:val="24"/>
        </w:rPr>
        <w:t>的</w:t>
      </w:r>
      <w:r>
        <w:rPr>
          <w:rFonts w:cs="Times New Roman"/>
          <w:sz w:val="24"/>
        </w:rPr>
        <w:t>结构</w:t>
      </w:r>
      <w:r>
        <w:rPr>
          <w:rFonts w:cs="Times New Roman" w:hint="eastAsia"/>
          <w:sz w:val="24"/>
        </w:rPr>
        <w:t>简</w:t>
      </w:r>
      <w:r>
        <w:rPr>
          <w:rFonts w:cs="Times New Roman"/>
          <w:sz w:val="24"/>
        </w:rPr>
        <w:t>式</w:t>
      </w:r>
      <w:r>
        <w:rPr>
          <w:rFonts w:cs="Times New Roman" w:hint="eastAsia"/>
          <w:sz w:val="24"/>
        </w:rPr>
        <w:t>为：</w:t>
      </w:r>
    </w:p>
    <w:p w:rsidR="0022448D" w:rsidRDefault="00063D19">
      <w:pPr>
        <w:spacing w:line="360" w:lineRule="auto"/>
        <w:ind w:leftChars="200" w:left="420"/>
        <w:jc w:val="center"/>
        <w:rPr>
          <w:rFonts w:cs="Times New Roman"/>
        </w:rPr>
      </w:pPr>
      <w:r>
        <w:rPr>
          <w:rFonts w:cs="Times New Roman"/>
        </w:rPr>
        <w:object w:dxaOrig="5036" w:dyaOrig="689">
          <v:shape id="_x0000_i1026" type="#_x0000_t75" style="width:251.8pt;height:34.45pt" o:ole="">
            <v:imagedata r:id="rId18" o:title=""/>
          </v:shape>
          <o:OLEObject Type="Embed" ProgID="ChemDraw.Document.6.0" ShapeID="_x0000_i1026" DrawAspect="Content" ObjectID="_1618659093" r:id="rId19"/>
        </w:object>
      </w:r>
    </w:p>
    <w:p w:rsidR="0022448D" w:rsidRDefault="00063D19">
      <w:pPr>
        <w:spacing w:line="360" w:lineRule="auto"/>
        <w:ind w:firstLineChars="200" w:firstLine="480"/>
        <w:rPr>
          <w:rFonts w:cs="Times New Roman"/>
          <w:sz w:val="24"/>
        </w:rPr>
      </w:pPr>
      <w:r>
        <w:rPr>
          <w:rFonts w:cs="Times New Roman" w:hint="eastAsia"/>
          <w:sz w:val="24"/>
        </w:rPr>
        <w:t>其中，</w:t>
      </w:r>
      <w:r>
        <w:rPr>
          <w:rFonts w:cs="Times New Roman" w:hint="eastAsia"/>
          <w:sz w:val="24"/>
        </w:rPr>
        <w:t>m</w:t>
      </w:r>
      <w:r>
        <w:rPr>
          <w:rFonts w:cs="Times New Roman" w:hint="eastAsia"/>
          <w:sz w:val="24"/>
        </w:rPr>
        <w:t>为</w:t>
      </w:r>
      <w:r>
        <w:rPr>
          <w:rFonts w:cs="Times New Roman" w:hint="eastAsia"/>
          <w:sz w:val="24"/>
        </w:rPr>
        <w:t>8</w:t>
      </w:r>
      <w:r>
        <w:rPr>
          <w:rFonts w:cs="Times New Roman" w:hint="eastAsia"/>
          <w:sz w:val="24"/>
        </w:rPr>
        <w:t>～</w:t>
      </w:r>
      <w:r>
        <w:rPr>
          <w:rFonts w:cs="Times New Roman" w:hint="eastAsia"/>
          <w:sz w:val="24"/>
        </w:rPr>
        <w:t>10</w:t>
      </w:r>
      <w:r>
        <w:rPr>
          <w:rFonts w:cs="Times New Roman" w:hint="eastAsia"/>
          <w:sz w:val="24"/>
        </w:rPr>
        <w:t>，</w:t>
      </w:r>
      <w:r>
        <w:rPr>
          <w:rFonts w:cs="Times New Roman" w:hint="eastAsia"/>
          <w:sz w:val="24"/>
        </w:rPr>
        <w:t>o</w:t>
      </w:r>
      <w:r>
        <w:rPr>
          <w:rFonts w:cs="Times New Roman" w:hint="eastAsia"/>
          <w:sz w:val="24"/>
        </w:rPr>
        <w:t>为</w:t>
      </w:r>
      <w:r>
        <w:rPr>
          <w:rFonts w:cs="Times New Roman" w:hint="eastAsia"/>
          <w:sz w:val="24"/>
        </w:rPr>
        <w:t>10</w:t>
      </w:r>
      <w:r>
        <w:rPr>
          <w:rFonts w:cs="Times New Roman" w:hint="eastAsia"/>
          <w:sz w:val="24"/>
        </w:rPr>
        <w:t>～</w:t>
      </w:r>
      <w:r>
        <w:rPr>
          <w:rFonts w:cs="Times New Roman" w:hint="eastAsia"/>
          <w:sz w:val="24"/>
        </w:rPr>
        <w:t>40</w:t>
      </w:r>
      <w:r>
        <w:rPr>
          <w:rFonts w:cs="Times New Roman" w:hint="eastAsia"/>
          <w:sz w:val="24"/>
        </w:rPr>
        <w:t>。</w:t>
      </w:r>
    </w:p>
    <w:p w:rsidR="0022448D" w:rsidRDefault="00063D19">
      <w:pPr>
        <w:numPr>
          <w:ilvl w:val="0"/>
          <w:numId w:val="1"/>
        </w:numPr>
        <w:spacing w:line="360" w:lineRule="auto"/>
        <w:ind w:firstLineChars="200" w:firstLine="480"/>
        <w:rPr>
          <w:rFonts w:cs="Times New Roman"/>
          <w:sz w:val="24"/>
        </w:rPr>
      </w:pPr>
      <w:r>
        <w:rPr>
          <w:rFonts w:cs="Times New Roman" w:hint="eastAsia"/>
          <w:sz w:val="24"/>
        </w:rPr>
        <w:t>根据权利要求</w:t>
      </w:r>
      <w:r>
        <w:rPr>
          <w:rFonts w:cs="Times New Roman" w:hint="eastAsia"/>
          <w:sz w:val="24"/>
        </w:rPr>
        <w:t>1</w:t>
      </w:r>
      <w:r>
        <w:rPr>
          <w:rFonts w:cs="Times New Roman" w:hint="eastAsia"/>
          <w:sz w:val="24"/>
        </w:rPr>
        <w:t>所述的</w:t>
      </w:r>
      <w:r>
        <w:rPr>
          <w:rFonts w:cs="Times New Roman"/>
          <w:sz w:val="24"/>
        </w:rPr>
        <w:t>一种高温高盐非均质性油藏双重调驱体系</w:t>
      </w:r>
      <w:r>
        <w:rPr>
          <w:rFonts w:cs="Times New Roman" w:hint="eastAsia"/>
          <w:sz w:val="24"/>
        </w:rPr>
        <w:t>，其特</w:t>
      </w:r>
      <w:r>
        <w:rPr>
          <w:rFonts w:cs="Times New Roman" w:hint="eastAsia"/>
          <w:sz w:val="24"/>
        </w:rPr>
        <w:lastRenderedPageBreak/>
        <w:t>征在于，所述驱调体系的具体制备步骤如下：</w:t>
      </w:r>
    </w:p>
    <w:p w:rsidR="0022448D" w:rsidRDefault="00063D19">
      <w:pPr>
        <w:spacing w:line="360" w:lineRule="auto"/>
        <w:ind w:firstLineChars="200" w:firstLine="480"/>
        <w:rPr>
          <w:rFonts w:cs="Times New Roman"/>
          <w:sz w:val="24"/>
        </w:rPr>
      </w:pPr>
      <w:r>
        <w:rPr>
          <w:rFonts w:cs="Times New Roman" w:hint="eastAsia"/>
          <w:sz w:val="24"/>
        </w:rPr>
        <w:t>（</w:t>
      </w:r>
      <w:r>
        <w:rPr>
          <w:rFonts w:cs="Times New Roman" w:hint="eastAsia"/>
          <w:sz w:val="24"/>
        </w:rPr>
        <w:t>1</w:t>
      </w:r>
      <w:r>
        <w:rPr>
          <w:rFonts w:cs="Times New Roman" w:hint="eastAsia"/>
          <w:sz w:val="24"/>
        </w:rPr>
        <w:t>）</w:t>
      </w:r>
      <w:r>
        <w:rPr>
          <w:rFonts w:cs="Times New Roman"/>
          <w:sz w:val="24"/>
        </w:rPr>
        <w:t>水相溶液配制：将丙烯酰胺、乙烯基吡咯烷酮、</w:t>
      </w:r>
      <w:r>
        <w:rPr>
          <w:rFonts w:cs="Times New Roman"/>
          <w:sz w:val="24"/>
        </w:rPr>
        <w:fldChar w:fldCharType="begin"/>
      </w:r>
      <w:r>
        <w:rPr>
          <w:rFonts w:cs="Times New Roman"/>
          <w:sz w:val="24"/>
        </w:rPr>
        <w:instrText xml:space="preserve"> HYPERLINK "http://ww</w:instrText>
      </w:r>
      <w:r>
        <w:rPr>
          <w:rFonts w:cs="Times New Roman"/>
          <w:sz w:val="24"/>
        </w:rPr>
        <w:instrText xml:space="preserve">w.baidu.com/link?url=X8kXPeYkS7oVqdWsZ53gB9GhYT_Cb6EhoR09ebqXvtB5xF9wBkDP28rrPybOzMiH66dtEmEZCGCMD9CfTcSjx82YbhBqGDZIK068GbPsGj-f5RxoTNXbnIg_xeHPdd2xpCdRiqgBvadLkhMi6P1kucRKAvRoKzbp9-4n6TYJJGu" \t "_blank" </w:instrText>
      </w:r>
      <w:r>
        <w:rPr>
          <w:rFonts w:cs="Times New Roman"/>
          <w:sz w:val="24"/>
        </w:rPr>
        <w:fldChar w:fldCharType="separate"/>
      </w:r>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r>
        <w:rPr>
          <w:rFonts w:cs="Times New Roman"/>
          <w:sz w:val="24"/>
        </w:rPr>
        <w:fldChar w:fldCharType="end"/>
      </w:r>
      <w:r>
        <w:rPr>
          <w:rFonts w:cs="Times New Roman" w:hint="eastAsia"/>
          <w:sz w:val="24"/>
        </w:rPr>
        <w:t>、</w:t>
      </w:r>
      <w:r>
        <w:rPr>
          <w:rFonts w:cs="Times New Roman"/>
          <w:sz w:val="24"/>
        </w:rPr>
        <w:t>烷基</w:t>
      </w:r>
      <w:proofErr w:type="gramStart"/>
      <w:r>
        <w:rPr>
          <w:rFonts w:cs="Times New Roman"/>
          <w:sz w:val="24"/>
        </w:rPr>
        <w:t>醇</w:t>
      </w:r>
      <w:proofErr w:type="gramEnd"/>
      <w:r>
        <w:rPr>
          <w:rFonts w:cs="Times New Roman"/>
          <w:sz w:val="24"/>
        </w:rPr>
        <w:t>酰胺和烷基</w:t>
      </w:r>
      <w:proofErr w:type="gramStart"/>
      <w:r>
        <w:rPr>
          <w:rFonts w:cs="Times New Roman"/>
          <w:sz w:val="24"/>
        </w:rPr>
        <w:t>醇聚氧</w:t>
      </w:r>
      <w:proofErr w:type="gramEnd"/>
      <w:r>
        <w:rPr>
          <w:rFonts w:cs="Times New Roman"/>
          <w:sz w:val="24"/>
        </w:rPr>
        <w:t>乙烯醚磺酸盐表面活性剂加入到去离子水中，搅拌</w:t>
      </w:r>
      <w:r>
        <w:rPr>
          <w:rFonts w:cs="Times New Roman"/>
          <w:sz w:val="24"/>
        </w:rPr>
        <w:t>至溶液澄清透明</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w:t>
      </w:r>
      <w:r>
        <w:rPr>
          <w:rFonts w:cs="Times New Roman" w:hint="eastAsia"/>
          <w:sz w:val="24"/>
        </w:rPr>
        <w:t>2</w:t>
      </w:r>
      <w:r>
        <w:rPr>
          <w:rFonts w:cs="Times New Roman" w:hint="eastAsia"/>
          <w:sz w:val="24"/>
        </w:rPr>
        <w:t>）</w:t>
      </w:r>
      <w:r>
        <w:rPr>
          <w:rFonts w:cs="Times New Roman"/>
          <w:sz w:val="24"/>
        </w:rPr>
        <w:t>油相溶液配制：将</w:t>
      </w:r>
      <w:r>
        <w:rPr>
          <w:rFonts w:cs="Times New Roman" w:hint="eastAsia"/>
          <w:sz w:val="24"/>
        </w:rPr>
        <w:t>油酸</w:t>
      </w:r>
      <w:r>
        <w:rPr>
          <w:rFonts w:cs="Times New Roman"/>
          <w:sz w:val="24"/>
        </w:rPr>
        <w:t>加入到油相中，搅拌均匀至溶液澄清透明</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w:t>
      </w:r>
      <w:r>
        <w:rPr>
          <w:rFonts w:cs="Times New Roman" w:hint="eastAsia"/>
          <w:sz w:val="24"/>
        </w:rPr>
        <w:t>3</w:t>
      </w:r>
      <w:r>
        <w:rPr>
          <w:rFonts w:cs="Times New Roman" w:hint="eastAsia"/>
          <w:sz w:val="24"/>
        </w:rPr>
        <w:t>）</w:t>
      </w:r>
      <w:r>
        <w:rPr>
          <w:rFonts w:cs="Times New Roman"/>
          <w:sz w:val="24"/>
        </w:rPr>
        <w:t>乳液体系的配制：将油相溶液加入到带机械搅拌、惰性气体入口</w:t>
      </w:r>
      <w:r>
        <w:rPr>
          <w:rFonts w:cs="Times New Roman"/>
          <w:sz w:val="24"/>
        </w:rPr>
        <w:t>/</w:t>
      </w:r>
      <w:r>
        <w:rPr>
          <w:rFonts w:cs="Times New Roman"/>
          <w:sz w:val="24"/>
        </w:rPr>
        <w:t>出口的三口烧瓶中，在高速机械搅拌条件下，缓慢将水相溶液加入到油相</w:t>
      </w:r>
      <w:r>
        <w:rPr>
          <w:rFonts w:cs="Times New Roman" w:hint="eastAsia"/>
          <w:sz w:val="24"/>
        </w:rPr>
        <w:t>溶液</w:t>
      </w:r>
      <w:r>
        <w:rPr>
          <w:rFonts w:cs="Times New Roman"/>
          <w:sz w:val="24"/>
        </w:rPr>
        <w:t>中，完全加入后开始通入惰性气体</w:t>
      </w:r>
      <w:r>
        <w:rPr>
          <w:rFonts w:cs="Times New Roman"/>
          <w:sz w:val="24"/>
        </w:rPr>
        <w:t>30min</w:t>
      </w:r>
      <w:r>
        <w:rPr>
          <w:rFonts w:cs="Times New Roman"/>
          <w:sz w:val="24"/>
        </w:rPr>
        <w:t>，使得乳液体系处于脱氧条件</w:t>
      </w:r>
      <w:r>
        <w:rPr>
          <w:rFonts w:cs="Times New Roman" w:hint="eastAsia"/>
          <w:sz w:val="24"/>
        </w:rPr>
        <w:t>，低速搅拌</w:t>
      </w:r>
      <w:r>
        <w:rPr>
          <w:rFonts w:cs="Times New Roman"/>
          <w:sz w:val="24"/>
        </w:rPr>
        <w:t>，加入引发剂后再升温至</w:t>
      </w:r>
      <w:r>
        <w:rPr>
          <w:rFonts w:cs="Times New Roman"/>
          <w:sz w:val="24"/>
        </w:rPr>
        <w:t>45°C</w:t>
      </w:r>
      <w:r>
        <w:rPr>
          <w:rFonts w:cs="Times New Roman" w:hint="eastAsia"/>
          <w:sz w:val="24"/>
        </w:rPr>
        <w:t>～</w:t>
      </w:r>
      <w:r>
        <w:rPr>
          <w:rFonts w:cs="Times New Roman"/>
          <w:sz w:val="24"/>
        </w:rPr>
        <w:t>50°C</w:t>
      </w:r>
      <w:r>
        <w:rPr>
          <w:rFonts w:cs="Times New Roman"/>
          <w:sz w:val="24"/>
        </w:rPr>
        <w:t>，反应</w:t>
      </w:r>
      <w:r>
        <w:rPr>
          <w:rFonts w:cs="Times New Roman"/>
          <w:sz w:val="24"/>
        </w:rPr>
        <w:t>2h</w:t>
      </w:r>
      <w:r>
        <w:rPr>
          <w:rFonts w:cs="Times New Roman" w:hint="eastAsia"/>
          <w:sz w:val="24"/>
        </w:rPr>
        <w:t>～</w:t>
      </w:r>
      <w:r>
        <w:rPr>
          <w:rFonts w:cs="Times New Roman"/>
          <w:sz w:val="24"/>
        </w:rPr>
        <w:t>3h</w:t>
      </w:r>
      <w:r>
        <w:rPr>
          <w:rFonts w:cs="Times New Roman" w:hint="eastAsia"/>
          <w:sz w:val="24"/>
        </w:rPr>
        <w:t>即得</w:t>
      </w:r>
      <w:r>
        <w:rPr>
          <w:rFonts w:cs="Times New Roman"/>
          <w:sz w:val="24"/>
        </w:rPr>
        <w:t>。</w:t>
      </w:r>
    </w:p>
    <w:p w:rsidR="0022448D" w:rsidRDefault="00063D19">
      <w:pPr>
        <w:spacing w:line="360" w:lineRule="auto"/>
        <w:ind w:firstLineChars="200" w:firstLine="480"/>
        <w:rPr>
          <w:rFonts w:cs="Times New Roman"/>
          <w:sz w:val="24"/>
        </w:rPr>
      </w:pPr>
      <w:r>
        <w:rPr>
          <w:rFonts w:cs="Times New Roman" w:hint="eastAsia"/>
          <w:sz w:val="24"/>
        </w:rPr>
        <w:t>6</w:t>
      </w:r>
      <w:r>
        <w:rPr>
          <w:rFonts w:cs="Times New Roman" w:hint="eastAsia"/>
          <w:sz w:val="24"/>
        </w:rPr>
        <w:t>、根据权利要求</w:t>
      </w:r>
      <w:r>
        <w:rPr>
          <w:rFonts w:cs="Times New Roman" w:hint="eastAsia"/>
          <w:sz w:val="24"/>
        </w:rPr>
        <w:t>5</w:t>
      </w:r>
      <w:r>
        <w:rPr>
          <w:rFonts w:cs="Times New Roman" w:hint="eastAsia"/>
          <w:sz w:val="24"/>
        </w:rPr>
        <w:t>所述的</w:t>
      </w:r>
      <w:r>
        <w:rPr>
          <w:rFonts w:cs="Times New Roman"/>
          <w:sz w:val="24"/>
        </w:rPr>
        <w:t>一种高温高盐非均质性油藏双重调驱体系</w:t>
      </w:r>
      <w:r>
        <w:rPr>
          <w:rFonts w:cs="Times New Roman" w:hint="eastAsia"/>
          <w:sz w:val="24"/>
        </w:rPr>
        <w:t>，其特征在于，所述步骤（</w:t>
      </w:r>
      <w:r>
        <w:rPr>
          <w:rFonts w:cs="Times New Roman" w:hint="eastAsia"/>
          <w:sz w:val="24"/>
        </w:rPr>
        <w:t>3</w:t>
      </w:r>
      <w:r>
        <w:rPr>
          <w:rFonts w:cs="Times New Roman" w:hint="eastAsia"/>
          <w:sz w:val="24"/>
        </w:rPr>
        <w:t>）中高速</w:t>
      </w:r>
      <w:r>
        <w:rPr>
          <w:rFonts w:cs="Times New Roman"/>
          <w:sz w:val="24"/>
        </w:rPr>
        <w:t>搅拌</w:t>
      </w:r>
      <w:r>
        <w:rPr>
          <w:rFonts w:cs="Times New Roman" w:hint="eastAsia"/>
          <w:sz w:val="24"/>
        </w:rPr>
        <w:t>的搅拌</w:t>
      </w:r>
      <w:r>
        <w:rPr>
          <w:rFonts w:cs="Times New Roman"/>
          <w:sz w:val="24"/>
        </w:rPr>
        <w:t>速度</w:t>
      </w:r>
      <w:r>
        <w:rPr>
          <w:rFonts w:cs="Times New Roman" w:hint="eastAsia"/>
          <w:sz w:val="24"/>
        </w:rPr>
        <w:t>为</w:t>
      </w:r>
      <w:r>
        <w:rPr>
          <w:rFonts w:cs="Times New Roman"/>
          <w:sz w:val="24"/>
        </w:rPr>
        <w:t>800r/min</w:t>
      </w:r>
      <w:r>
        <w:rPr>
          <w:rFonts w:cs="Times New Roman" w:hint="eastAsia"/>
          <w:sz w:val="24"/>
        </w:rPr>
        <w:t>～</w:t>
      </w:r>
      <w:r>
        <w:rPr>
          <w:rFonts w:cs="Times New Roman"/>
          <w:sz w:val="24"/>
        </w:rPr>
        <w:t>1000r/min</w:t>
      </w:r>
      <w:r>
        <w:rPr>
          <w:rFonts w:cs="Times New Roman" w:hint="eastAsia"/>
          <w:sz w:val="24"/>
        </w:rPr>
        <w:t>，低速搅拌的搅拌速度为</w:t>
      </w:r>
      <w:r>
        <w:rPr>
          <w:rFonts w:cs="Times New Roman"/>
          <w:sz w:val="24"/>
        </w:rPr>
        <w:t>200min</w:t>
      </w:r>
      <w:r>
        <w:rPr>
          <w:rFonts w:cs="Times New Roman" w:hint="eastAsia"/>
          <w:sz w:val="24"/>
        </w:rPr>
        <w:t>～</w:t>
      </w:r>
      <w:r>
        <w:rPr>
          <w:rFonts w:cs="Times New Roman"/>
          <w:sz w:val="24"/>
        </w:rPr>
        <w:t>400r/min</w:t>
      </w:r>
      <w:r>
        <w:rPr>
          <w:rFonts w:cs="Times New Roman" w:hint="eastAsia"/>
          <w:sz w:val="24"/>
        </w:rPr>
        <w:t>。</w:t>
      </w:r>
    </w:p>
    <w:p w:rsidR="0022448D" w:rsidRDefault="00063D19">
      <w:pPr>
        <w:spacing w:line="360" w:lineRule="auto"/>
        <w:ind w:firstLineChars="200" w:firstLine="480"/>
        <w:rPr>
          <w:rFonts w:cs="Times New Roman"/>
          <w:sz w:val="24"/>
        </w:rPr>
        <w:sectPr w:rsidR="0022448D">
          <w:headerReference w:type="default" r:id="rId20"/>
          <w:footerReference w:type="default" r:id="rId21"/>
          <w:pgSz w:w="11906" w:h="16838"/>
          <w:pgMar w:top="1440" w:right="1800" w:bottom="1440" w:left="1800" w:header="851" w:footer="992" w:gutter="0"/>
          <w:pgNumType w:start="1"/>
          <w:cols w:space="0"/>
          <w:docGrid w:type="lines" w:linePitch="312"/>
        </w:sectPr>
      </w:pPr>
      <w:r>
        <w:rPr>
          <w:rFonts w:cs="Times New Roman" w:hint="eastAsia"/>
          <w:sz w:val="24"/>
        </w:rPr>
        <w:t>7</w:t>
      </w:r>
      <w:r>
        <w:rPr>
          <w:rFonts w:cs="Times New Roman" w:hint="eastAsia"/>
          <w:sz w:val="24"/>
        </w:rPr>
        <w:t>、如权利要求</w:t>
      </w:r>
      <w:r>
        <w:rPr>
          <w:rFonts w:cs="Times New Roman" w:hint="eastAsia"/>
          <w:sz w:val="24"/>
        </w:rPr>
        <w:t>1-6</w:t>
      </w:r>
      <w:r>
        <w:rPr>
          <w:rFonts w:cs="Times New Roman" w:hint="eastAsia"/>
          <w:sz w:val="24"/>
        </w:rPr>
        <w:t>任一项所述的</w:t>
      </w:r>
      <w:r>
        <w:rPr>
          <w:rFonts w:cs="Times New Roman"/>
          <w:sz w:val="24"/>
        </w:rPr>
        <w:t>一种高温高盐非均质性油藏双重调驱体系</w:t>
      </w:r>
      <w:r>
        <w:rPr>
          <w:rFonts w:cs="Times New Roman" w:hint="eastAsia"/>
          <w:sz w:val="24"/>
        </w:rPr>
        <w:t>在高温高盐非均质性油藏化学驱中的应用。</w:t>
      </w:r>
    </w:p>
    <w:p w:rsidR="0022448D" w:rsidRDefault="00063D19">
      <w:pPr>
        <w:spacing w:line="360" w:lineRule="auto"/>
        <w:ind w:firstLineChars="200" w:firstLine="482"/>
        <w:jc w:val="center"/>
        <w:rPr>
          <w:rFonts w:cs="Times New Roman"/>
          <w:b/>
          <w:bCs/>
          <w:sz w:val="24"/>
        </w:rPr>
      </w:pPr>
      <w:r>
        <w:rPr>
          <w:rFonts w:cs="Times New Roman"/>
          <w:b/>
          <w:bCs/>
          <w:sz w:val="24"/>
        </w:rPr>
        <w:lastRenderedPageBreak/>
        <w:t>一种高温高盐非均质性油藏双重调驱体系</w:t>
      </w:r>
      <w:r>
        <w:rPr>
          <w:rFonts w:cs="Times New Roman" w:hint="eastAsia"/>
          <w:b/>
          <w:bCs/>
          <w:sz w:val="24"/>
        </w:rPr>
        <w:t>及其应用</w:t>
      </w:r>
    </w:p>
    <w:p w:rsidR="0022448D" w:rsidRDefault="00063D19">
      <w:pPr>
        <w:spacing w:line="360" w:lineRule="auto"/>
        <w:rPr>
          <w:rFonts w:cs="Times New Roman"/>
          <w:b/>
          <w:bCs/>
          <w:sz w:val="24"/>
        </w:rPr>
      </w:pPr>
      <w:r>
        <w:rPr>
          <w:rFonts w:cs="Times New Roman" w:hint="eastAsia"/>
          <w:b/>
          <w:bCs/>
          <w:sz w:val="24"/>
        </w:rPr>
        <w:t>技术领域</w:t>
      </w:r>
    </w:p>
    <w:p w:rsidR="0022448D" w:rsidRDefault="00063D19">
      <w:pPr>
        <w:spacing w:line="360" w:lineRule="auto"/>
        <w:ind w:firstLineChars="200" w:firstLine="480"/>
        <w:rPr>
          <w:rFonts w:cs="Times New Roman"/>
          <w:sz w:val="24"/>
        </w:rPr>
      </w:pPr>
      <w:r>
        <w:rPr>
          <w:rFonts w:cs="Times New Roman"/>
          <w:sz w:val="24"/>
        </w:rPr>
        <w:t>本发明涉及属于</w:t>
      </w:r>
      <w:r>
        <w:rPr>
          <w:rFonts w:cs="Times New Roman" w:hint="eastAsia"/>
          <w:sz w:val="24"/>
        </w:rPr>
        <w:t>油田化学和</w:t>
      </w:r>
      <w:r>
        <w:rPr>
          <w:rFonts w:cs="Times New Roman"/>
          <w:sz w:val="24"/>
        </w:rPr>
        <w:t>油田开发</w:t>
      </w:r>
      <w:r>
        <w:rPr>
          <w:rFonts w:cs="Times New Roman" w:hint="eastAsia"/>
          <w:sz w:val="24"/>
        </w:rPr>
        <w:t>技术</w:t>
      </w:r>
      <w:r>
        <w:rPr>
          <w:rFonts w:cs="Times New Roman"/>
          <w:sz w:val="24"/>
        </w:rPr>
        <w:t>领域，具体涉及一种高温高盐油藏双重调驱体系及其应用</w:t>
      </w:r>
      <w:r>
        <w:rPr>
          <w:rFonts w:cs="Times New Roman" w:hint="eastAsia"/>
          <w:sz w:val="24"/>
        </w:rPr>
        <w:t>。</w:t>
      </w:r>
    </w:p>
    <w:p w:rsidR="0022448D" w:rsidRDefault="00063D19">
      <w:pPr>
        <w:spacing w:line="360" w:lineRule="auto"/>
        <w:rPr>
          <w:rFonts w:cs="Times New Roman"/>
          <w:b/>
          <w:bCs/>
          <w:sz w:val="24"/>
        </w:rPr>
      </w:pPr>
      <w:r>
        <w:rPr>
          <w:rFonts w:cs="Times New Roman" w:hint="eastAsia"/>
          <w:b/>
          <w:bCs/>
          <w:sz w:val="24"/>
        </w:rPr>
        <w:t>技术背景</w:t>
      </w:r>
    </w:p>
    <w:p w:rsidR="0022448D" w:rsidRDefault="00063D19">
      <w:pPr>
        <w:spacing w:line="360" w:lineRule="auto"/>
        <w:ind w:firstLineChars="200" w:firstLine="480"/>
        <w:rPr>
          <w:rFonts w:cs="Times New Roman"/>
          <w:sz w:val="24"/>
        </w:rPr>
      </w:pPr>
      <w:r>
        <w:rPr>
          <w:rFonts w:cs="Times New Roman"/>
          <w:sz w:val="24"/>
        </w:rPr>
        <w:t>目前很多老油田已经进入开发中后期，采出液高含水是长期困扰油田开采的严重问题，如何有效控水稳油是现阶段油田开发的重要任务。化学驱油技术已成为老油田控水稳油及进一步提高原油采收率的主要手段，并且在常规油藏得到了广泛的应用。这些化学驱技术主要包括：聚合物驱、碱驱、表面活性剂驱、聚</w:t>
      </w:r>
      <w:r>
        <w:rPr>
          <w:rFonts w:cs="Times New Roman"/>
          <w:sz w:val="24"/>
        </w:rPr>
        <w:t>/</w:t>
      </w:r>
      <w:r>
        <w:rPr>
          <w:rFonts w:cs="Times New Roman"/>
          <w:sz w:val="24"/>
        </w:rPr>
        <w:t>表二元驱、聚</w:t>
      </w:r>
      <w:r>
        <w:rPr>
          <w:rFonts w:cs="Times New Roman"/>
          <w:sz w:val="24"/>
        </w:rPr>
        <w:t>/</w:t>
      </w:r>
      <w:r>
        <w:rPr>
          <w:rFonts w:cs="Times New Roman"/>
          <w:sz w:val="24"/>
        </w:rPr>
        <w:t>碱</w:t>
      </w:r>
      <w:r>
        <w:rPr>
          <w:rFonts w:cs="Times New Roman"/>
          <w:sz w:val="24"/>
        </w:rPr>
        <w:t>/</w:t>
      </w:r>
      <w:r>
        <w:rPr>
          <w:rFonts w:cs="Times New Roman"/>
          <w:sz w:val="24"/>
        </w:rPr>
        <w:t>表三元复合驱以及多</w:t>
      </w:r>
      <w:r>
        <w:rPr>
          <w:rFonts w:cs="Times New Roman" w:hint="eastAsia"/>
          <w:sz w:val="24"/>
        </w:rPr>
        <w:t>元</w:t>
      </w:r>
      <w:r>
        <w:rPr>
          <w:rFonts w:cs="Times New Roman"/>
          <w:sz w:val="24"/>
        </w:rPr>
        <w:t>泡沫复合驱等。然</w:t>
      </w:r>
      <w:r>
        <w:rPr>
          <w:rFonts w:cs="Times New Roman" w:hint="eastAsia"/>
          <w:sz w:val="24"/>
        </w:rPr>
        <w:t>而</w:t>
      </w:r>
      <w:r>
        <w:rPr>
          <w:rFonts w:cs="Times New Roman"/>
          <w:sz w:val="24"/>
        </w:rPr>
        <w:t>对于高温高盐且非均质性较强的油藏，这些化学驱技术的应用仍然具有一定的局限性，主要表现为：</w:t>
      </w:r>
      <w:r>
        <w:rPr>
          <w:rFonts w:cs="Times New Roman"/>
          <w:sz w:val="24"/>
        </w:rPr>
        <w:t>1)</w:t>
      </w:r>
      <w:r>
        <w:rPr>
          <w:rFonts w:cs="Times New Roman"/>
          <w:sz w:val="24"/>
        </w:rPr>
        <w:t>聚合物的耐温抗盐性有限，含聚合物的体系只适合于中低温</w:t>
      </w:r>
      <w:r>
        <w:rPr>
          <w:rFonts w:cs="Times New Roman" w:hint="eastAsia"/>
          <w:sz w:val="24"/>
        </w:rPr>
        <w:t>及</w:t>
      </w:r>
      <w:r>
        <w:rPr>
          <w:rFonts w:cs="Times New Roman"/>
          <w:sz w:val="24"/>
        </w:rPr>
        <w:t>低矿化度油藏；</w:t>
      </w:r>
      <w:r>
        <w:rPr>
          <w:rFonts w:cs="Times New Roman"/>
          <w:sz w:val="24"/>
        </w:rPr>
        <w:t>2)</w:t>
      </w:r>
      <w:r>
        <w:rPr>
          <w:rFonts w:cs="Times New Roman"/>
          <w:sz w:val="24"/>
        </w:rPr>
        <w:t>碱驱在高钙</w:t>
      </w:r>
      <w:r>
        <w:rPr>
          <w:rFonts w:cs="Times New Roman"/>
          <w:sz w:val="24"/>
        </w:rPr>
        <w:t>/</w:t>
      </w:r>
      <w:r>
        <w:rPr>
          <w:rFonts w:cs="Times New Roman"/>
          <w:sz w:val="24"/>
        </w:rPr>
        <w:t>镁条</w:t>
      </w:r>
      <w:r>
        <w:rPr>
          <w:rFonts w:cs="Times New Roman"/>
          <w:sz w:val="24"/>
        </w:rPr>
        <w:t>件下，碱结垢现象严重，</w:t>
      </w:r>
      <w:r>
        <w:rPr>
          <w:rFonts w:cs="Times New Roman" w:hint="eastAsia"/>
          <w:sz w:val="24"/>
        </w:rPr>
        <w:t>对</w:t>
      </w:r>
      <w:r>
        <w:rPr>
          <w:rFonts w:cs="Times New Roman"/>
          <w:sz w:val="24"/>
        </w:rPr>
        <w:t>地层</w:t>
      </w:r>
      <w:r>
        <w:rPr>
          <w:rFonts w:cs="Times New Roman" w:hint="eastAsia"/>
          <w:sz w:val="24"/>
        </w:rPr>
        <w:t>造成</w:t>
      </w:r>
      <w:r>
        <w:rPr>
          <w:rFonts w:cs="Times New Roman"/>
          <w:sz w:val="24"/>
        </w:rPr>
        <w:t>伤害；</w:t>
      </w:r>
      <w:r>
        <w:rPr>
          <w:rFonts w:cs="Times New Roman"/>
          <w:sz w:val="24"/>
        </w:rPr>
        <w:t>3)</w:t>
      </w:r>
      <w:r>
        <w:rPr>
          <w:rFonts w:cs="Times New Roman"/>
          <w:sz w:val="24"/>
        </w:rPr>
        <w:t>泡沫驱尽管能够在高温高盐油藏应用，但是在非均质性强的油藏，泡沫会沿着高渗透通道产出；</w:t>
      </w:r>
      <w:r>
        <w:rPr>
          <w:rFonts w:cs="Times New Roman"/>
          <w:sz w:val="24"/>
        </w:rPr>
        <w:t>4)</w:t>
      </w:r>
      <w:r>
        <w:rPr>
          <w:rFonts w:cs="Times New Roman"/>
          <w:sz w:val="24"/>
        </w:rPr>
        <w:t>部分表面活性剂的耐温抗盐性好，但是在非均质性较强的储层，蹿流现象严重。</w:t>
      </w:r>
    </w:p>
    <w:p w:rsidR="0022448D" w:rsidRDefault="00063D19">
      <w:pPr>
        <w:spacing w:line="360" w:lineRule="auto"/>
        <w:ind w:firstLineChars="200" w:firstLine="480"/>
        <w:rPr>
          <w:rFonts w:cs="Times New Roman"/>
          <w:sz w:val="24"/>
        </w:rPr>
      </w:pPr>
      <w:r>
        <w:rPr>
          <w:rFonts w:cs="Times New Roman"/>
          <w:sz w:val="24"/>
        </w:rPr>
        <w:t>大量室内实验及现场试验证明，聚合物微球能够有效地改善地层非均质性、扩大波及水相波及体积。同时温度和矿化度对其适应性影响较小，用量少成本低，有效期长，特别适用于高温高盐非均质性油藏，但是如果油藏非均质性过强、聚合物微球改善地层非均质性的能力减弱，不能很好的适应油藏。</w:t>
      </w:r>
    </w:p>
    <w:p w:rsidR="0022448D" w:rsidRDefault="00063D19">
      <w:pPr>
        <w:spacing w:line="360" w:lineRule="auto"/>
        <w:rPr>
          <w:rFonts w:cs="Times New Roman"/>
          <w:b/>
          <w:bCs/>
          <w:sz w:val="24"/>
        </w:rPr>
      </w:pPr>
      <w:r>
        <w:rPr>
          <w:rFonts w:cs="Times New Roman" w:hint="eastAsia"/>
          <w:b/>
          <w:bCs/>
          <w:sz w:val="24"/>
        </w:rPr>
        <w:t>发明内容：</w:t>
      </w:r>
    </w:p>
    <w:p w:rsidR="0022448D" w:rsidRDefault="00063D19">
      <w:pPr>
        <w:spacing w:line="360" w:lineRule="auto"/>
        <w:ind w:firstLineChars="200" w:firstLine="480"/>
        <w:rPr>
          <w:rFonts w:cs="Times New Roman"/>
          <w:sz w:val="24"/>
        </w:rPr>
      </w:pPr>
      <w:r>
        <w:rPr>
          <w:rFonts w:cs="Times New Roman"/>
          <w:sz w:val="24"/>
        </w:rPr>
        <w:t>本发明针对目前油田用</w:t>
      </w:r>
      <w:r>
        <w:rPr>
          <w:rFonts w:cs="Times New Roman" w:hint="eastAsia"/>
          <w:sz w:val="24"/>
        </w:rPr>
        <w:t>化学驱</w:t>
      </w:r>
      <w:r>
        <w:rPr>
          <w:rFonts w:cs="Times New Roman"/>
          <w:sz w:val="24"/>
        </w:rPr>
        <w:t>存在的</w:t>
      </w:r>
      <w:r>
        <w:rPr>
          <w:rFonts w:cs="Times New Roman"/>
          <w:sz w:val="24"/>
        </w:rPr>
        <w:t>不足，提出一种高温高盐非均质油藏双重调驱体系，既能够弥补</w:t>
      </w:r>
      <w:r>
        <w:rPr>
          <w:rFonts w:cs="Times New Roman" w:hint="eastAsia"/>
          <w:sz w:val="24"/>
        </w:rPr>
        <w:t>常规</w:t>
      </w:r>
      <w:r>
        <w:rPr>
          <w:rFonts w:cs="Times New Roman"/>
          <w:sz w:val="24"/>
        </w:rPr>
        <w:t>聚合物微球</w:t>
      </w:r>
      <w:r>
        <w:rPr>
          <w:rFonts w:cs="Times New Roman" w:hint="eastAsia"/>
          <w:sz w:val="24"/>
        </w:rPr>
        <w:t>使</w:t>
      </w:r>
      <w:r>
        <w:rPr>
          <w:rFonts w:cs="Times New Roman"/>
          <w:sz w:val="24"/>
        </w:rPr>
        <w:t>用的限制，又能够提高经济效益。</w:t>
      </w:r>
    </w:p>
    <w:p w:rsidR="0022448D" w:rsidRDefault="00063D19">
      <w:pPr>
        <w:spacing w:line="360" w:lineRule="auto"/>
        <w:ind w:firstLineChars="200" w:firstLine="480"/>
        <w:rPr>
          <w:rFonts w:cs="Times New Roman"/>
          <w:sz w:val="24"/>
        </w:rPr>
      </w:pPr>
      <w:r>
        <w:rPr>
          <w:rFonts w:cs="Times New Roman" w:hint="eastAsia"/>
          <w:sz w:val="24"/>
        </w:rPr>
        <w:t>为</w:t>
      </w:r>
      <w:r>
        <w:rPr>
          <w:rFonts w:cs="Times New Roman"/>
          <w:sz w:val="24"/>
        </w:rPr>
        <w:t>达到上述目的，本发明提供以下技术方案</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sz w:val="24"/>
        </w:rPr>
        <w:t>一种高温高盐非均质性油藏双重调驱体系，以质量百分比</w:t>
      </w:r>
      <w:r>
        <w:rPr>
          <w:rFonts w:cs="Times New Roman" w:hint="eastAsia"/>
          <w:sz w:val="24"/>
        </w:rPr>
        <w:t>计</w:t>
      </w:r>
      <w:r>
        <w:rPr>
          <w:rFonts w:cs="Times New Roman"/>
          <w:sz w:val="24"/>
        </w:rPr>
        <w:t>，</w:t>
      </w:r>
      <w:r>
        <w:rPr>
          <w:rFonts w:cs="Times New Roman" w:hint="eastAsia"/>
          <w:sz w:val="24"/>
        </w:rPr>
        <w:t>采用包括以下原料制成</w:t>
      </w:r>
      <w:r>
        <w:rPr>
          <w:rFonts w:cs="Times New Roman"/>
          <w:sz w:val="24"/>
        </w:rPr>
        <w:t>：</w:t>
      </w:r>
    </w:p>
    <w:p w:rsidR="0022448D" w:rsidRDefault="00063D19">
      <w:pPr>
        <w:numPr>
          <w:ilvl w:val="0"/>
          <w:numId w:val="3"/>
        </w:numPr>
        <w:spacing w:line="360" w:lineRule="auto"/>
        <w:ind w:firstLineChars="200" w:firstLine="480"/>
        <w:rPr>
          <w:rFonts w:cs="Times New Roman"/>
          <w:sz w:val="24"/>
        </w:rPr>
      </w:pPr>
      <w:r>
        <w:rPr>
          <w:rFonts w:cs="Times New Roman" w:hint="eastAsia"/>
          <w:sz w:val="24"/>
        </w:rPr>
        <w:t>油相</w:t>
      </w:r>
      <w:r>
        <w:rPr>
          <w:rFonts w:cs="Times New Roman"/>
          <w:sz w:val="24"/>
        </w:rPr>
        <w:t>：</w:t>
      </w:r>
      <w:r>
        <w:rPr>
          <w:rFonts w:cs="Times New Roman"/>
          <w:sz w:val="24"/>
        </w:rPr>
        <w:t>40%</w:t>
      </w:r>
      <w:r>
        <w:rPr>
          <w:rFonts w:cs="Times New Roman" w:hint="eastAsia"/>
          <w:sz w:val="24"/>
        </w:rPr>
        <w:t>～</w:t>
      </w:r>
      <w:r>
        <w:rPr>
          <w:rFonts w:cs="Times New Roman"/>
          <w:sz w:val="24"/>
        </w:rPr>
        <w:t>70%</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油酸：</w:t>
      </w:r>
      <w:r>
        <w:rPr>
          <w:rFonts w:cs="Times New Roman"/>
          <w:sz w:val="24"/>
        </w:rPr>
        <w:t>0.5%</w:t>
      </w:r>
      <w:r>
        <w:rPr>
          <w:rFonts w:cs="Times New Roman" w:hint="eastAsia"/>
          <w:sz w:val="24"/>
        </w:rPr>
        <w:t>～</w:t>
      </w:r>
      <w:r>
        <w:rPr>
          <w:rFonts w:cs="Times New Roman"/>
          <w:sz w:val="24"/>
        </w:rPr>
        <w:t>2%</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b</w:t>
      </w:r>
      <w:r>
        <w:rPr>
          <w:rFonts w:cs="Times New Roman" w:hint="eastAsia"/>
          <w:sz w:val="24"/>
        </w:rPr>
        <w:t>、水溶性单体：</w:t>
      </w:r>
    </w:p>
    <w:p w:rsidR="0022448D" w:rsidRDefault="00063D19">
      <w:pPr>
        <w:spacing w:line="360" w:lineRule="auto"/>
        <w:ind w:firstLineChars="300" w:firstLine="720"/>
        <w:rPr>
          <w:rFonts w:cs="Times New Roman"/>
          <w:sz w:val="24"/>
        </w:rPr>
      </w:pPr>
      <w:r>
        <w:rPr>
          <w:rFonts w:cs="Times New Roman"/>
          <w:sz w:val="24"/>
        </w:rPr>
        <w:t>烷基醇酰胺：</w:t>
      </w:r>
      <w:r>
        <w:rPr>
          <w:rFonts w:cs="Times New Roman"/>
          <w:sz w:val="24"/>
        </w:rPr>
        <w:t>6%</w:t>
      </w:r>
      <w:r>
        <w:rPr>
          <w:rFonts w:cs="Times New Roman" w:hint="eastAsia"/>
          <w:sz w:val="24"/>
        </w:rPr>
        <w:t>～</w:t>
      </w:r>
      <w:r>
        <w:rPr>
          <w:rFonts w:cs="Times New Roman"/>
          <w:sz w:val="24"/>
        </w:rPr>
        <w:t>8%</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lastRenderedPageBreak/>
        <w:t>烷基酚聚氧乙烯醚磺酸盐表面活性剂：</w:t>
      </w:r>
      <w:r>
        <w:rPr>
          <w:rFonts w:cs="Times New Roman"/>
          <w:sz w:val="24"/>
        </w:rPr>
        <w:t>1%</w:t>
      </w:r>
      <w:r>
        <w:rPr>
          <w:rFonts w:cs="Times New Roman" w:hint="eastAsia"/>
          <w:sz w:val="24"/>
        </w:rPr>
        <w:t>～</w:t>
      </w:r>
      <w:r>
        <w:rPr>
          <w:rFonts w:cs="Times New Roman"/>
          <w:sz w:val="24"/>
        </w:rPr>
        <w:t>2%</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丙烯酰胺</w:t>
      </w:r>
      <w:r>
        <w:rPr>
          <w:rFonts w:cs="Times New Roman"/>
          <w:sz w:val="24"/>
        </w:rPr>
        <w:t>(AM)</w:t>
      </w:r>
      <w:r>
        <w:rPr>
          <w:rFonts w:cs="Times New Roman"/>
          <w:sz w:val="24"/>
        </w:rPr>
        <w:t>：</w:t>
      </w:r>
      <w:r>
        <w:rPr>
          <w:rFonts w:cs="Times New Roman"/>
          <w:sz w:val="24"/>
        </w:rPr>
        <w:t>1</w:t>
      </w:r>
      <w:r>
        <w:rPr>
          <w:rFonts w:cs="Times New Roman" w:hint="eastAsia"/>
          <w:sz w:val="24"/>
        </w:rPr>
        <w:t>0</w:t>
      </w:r>
      <w:r>
        <w:rPr>
          <w:rFonts w:cs="Times New Roman"/>
          <w:sz w:val="24"/>
        </w:rPr>
        <w:t>%</w:t>
      </w:r>
      <w:r>
        <w:rPr>
          <w:rFonts w:cs="Times New Roman" w:hint="eastAsia"/>
          <w:sz w:val="24"/>
        </w:rPr>
        <w:t>～</w:t>
      </w:r>
      <w:r>
        <w:rPr>
          <w:rFonts w:cs="Times New Roman" w:hint="eastAsia"/>
          <w:sz w:val="24"/>
        </w:rPr>
        <w:t>20</w:t>
      </w:r>
      <w:r>
        <w:rPr>
          <w:rFonts w:cs="Times New Roman"/>
          <w:sz w:val="24"/>
        </w:rPr>
        <w:t>%</w:t>
      </w:r>
      <w:r>
        <w:rPr>
          <w:rFonts w:cs="Times New Roman" w:hint="eastAsia"/>
          <w:sz w:val="24"/>
        </w:rPr>
        <w:t>，</w:t>
      </w:r>
    </w:p>
    <w:p w:rsidR="0022448D" w:rsidRDefault="00063D19">
      <w:pPr>
        <w:spacing w:line="360" w:lineRule="auto"/>
        <w:ind w:firstLineChars="300" w:firstLine="720"/>
        <w:rPr>
          <w:rFonts w:cs="Times New Roman"/>
          <w:sz w:val="24"/>
        </w:rPr>
      </w:pPr>
      <w:r>
        <w:rPr>
          <w:rFonts w:cs="Times New Roman"/>
          <w:sz w:val="24"/>
        </w:rPr>
        <w:t>乙烯基吡咯烷酮</w:t>
      </w:r>
      <w:r>
        <w:rPr>
          <w:rFonts w:cs="Times New Roman"/>
          <w:sz w:val="24"/>
        </w:rPr>
        <w:t>(NVP)</w:t>
      </w:r>
      <w:r>
        <w:rPr>
          <w:rFonts w:cs="Times New Roman"/>
          <w:sz w:val="24"/>
        </w:rPr>
        <w:t>：</w:t>
      </w:r>
      <w:r>
        <w:rPr>
          <w:rFonts w:cs="Times New Roman"/>
          <w:sz w:val="24"/>
        </w:rPr>
        <w:t>1%</w:t>
      </w:r>
      <w:r>
        <w:rPr>
          <w:rFonts w:cs="Times New Roman" w:hint="eastAsia"/>
          <w:sz w:val="24"/>
        </w:rPr>
        <w:t>～</w:t>
      </w:r>
      <w:r>
        <w:rPr>
          <w:rFonts w:cs="Times New Roman"/>
          <w:sz w:val="24"/>
        </w:rPr>
        <w:t>3%</w:t>
      </w:r>
      <w:r>
        <w:rPr>
          <w:rFonts w:cs="Times New Roman" w:hint="eastAsia"/>
          <w:sz w:val="24"/>
        </w:rPr>
        <w:t>，</w:t>
      </w:r>
    </w:p>
    <w:p w:rsidR="0022448D" w:rsidRDefault="00063D19">
      <w:pPr>
        <w:spacing w:line="360" w:lineRule="auto"/>
        <w:ind w:firstLineChars="300" w:firstLine="630"/>
        <w:rPr>
          <w:rFonts w:cs="Times New Roman"/>
          <w:sz w:val="24"/>
        </w:rPr>
      </w:pPr>
      <w:hyperlink r:id="rId22" w:tgtFrame="_blank" w:history="1">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hyperlink>
      <w:r>
        <w:rPr>
          <w:rFonts w:cs="Times New Roman"/>
          <w:sz w:val="24"/>
        </w:rPr>
        <w:t>(MBA)</w:t>
      </w:r>
      <w:r>
        <w:rPr>
          <w:rFonts w:cs="Times New Roman"/>
          <w:sz w:val="24"/>
        </w:rPr>
        <w:t>：</w:t>
      </w:r>
      <w:r>
        <w:rPr>
          <w:rFonts w:cs="Times New Roman" w:hint="eastAsia"/>
          <w:sz w:val="24"/>
        </w:rPr>
        <w:t>水溶性单体总质量的</w:t>
      </w:r>
      <w:r>
        <w:rPr>
          <w:rFonts w:cs="Times New Roman"/>
          <w:sz w:val="24"/>
        </w:rPr>
        <w:t>0.1%</w:t>
      </w:r>
      <w:r>
        <w:rPr>
          <w:rFonts w:cs="Times New Roman" w:hint="eastAsia"/>
          <w:sz w:val="24"/>
        </w:rPr>
        <w:t>～</w:t>
      </w:r>
      <w:r>
        <w:rPr>
          <w:rFonts w:cs="Times New Roman"/>
          <w:sz w:val="24"/>
        </w:rPr>
        <w:t>0.4%</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c</w:t>
      </w:r>
      <w:r>
        <w:rPr>
          <w:rFonts w:cs="Times New Roman" w:hint="eastAsia"/>
          <w:sz w:val="24"/>
        </w:rPr>
        <w:t>、</w:t>
      </w:r>
      <w:r>
        <w:rPr>
          <w:rFonts w:cs="Times New Roman"/>
          <w:sz w:val="24"/>
        </w:rPr>
        <w:t>引发剂：</w:t>
      </w:r>
      <w:r>
        <w:rPr>
          <w:rFonts w:cs="Times New Roman" w:hint="eastAsia"/>
          <w:sz w:val="24"/>
        </w:rPr>
        <w:t>水溶性单体总质量的</w:t>
      </w:r>
      <w:r>
        <w:rPr>
          <w:rFonts w:cs="Times New Roman"/>
          <w:sz w:val="24"/>
        </w:rPr>
        <w:t>0.01%</w:t>
      </w:r>
      <w:r>
        <w:rPr>
          <w:rFonts w:cs="Times New Roman" w:hint="eastAsia"/>
          <w:sz w:val="24"/>
        </w:rPr>
        <w:t>～</w:t>
      </w:r>
      <w:r>
        <w:rPr>
          <w:rFonts w:cs="Times New Roman"/>
          <w:sz w:val="24"/>
        </w:rPr>
        <w:t>0.05%</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d</w:t>
      </w:r>
      <w:r>
        <w:rPr>
          <w:rFonts w:cs="Times New Roman" w:hint="eastAsia"/>
          <w:sz w:val="24"/>
        </w:rPr>
        <w:t>、其余为去离子水；</w:t>
      </w:r>
    </w:p>
    <w:p w:rsidR="0022448D" w:rsidRDefault="00063D19">
      <w:pPr>
        <w:spacing w:line="360" w:lineRule="auto"/>
        <w:ind w:firstLineChars="200" w:firstLine="480"/>
        <w:rPr>
          <w:rFonts w:cs="Times New Roman"/>
          <w:sz w:val="24"/>
        </w:rPr>
      </w:pPr>
      <w:r>
        <w:rPr>
          <w:rFonts w:cs="Times New Roman" w:hint="eastAsia"/>
          <w:sz w:val="24"/>
        </w:rPr>
        <w:t>所述</w:t>
      </w:r>
      <w:r>
        <w:rPr>
          <w:rFonts w:cs="Times New Roman"/>
          <w:sz w:val="24"/>
        </w:rPr>
        <w:t>调驱体系</w:t>
      </w:r>
      <w:r>
        <w:rPr>
          <w:rFonts w:cs="Times New Roman" w:hint="eastAsia"/>
          <w:sz w:val="24"/>
        </w:rPr>
        <w:t>的制备包括以下步骤：</w:t>
      </w:r>
    </w:p>
    <w:p w:rsidR="0022448D" w:rsidRDefault="00063D19">
      <w:pPr>
        <w:spacing w:line="360" w:lineRule="auto"/>
        <w:ind w:firstLineChars="200" w:firstLine="480"/>
        <w:rPr>
          <w:rFonts w:cs="Times New Roman"/>
          <w:sz w:val="24"/>
        </w:rPr>
      </w:pPr>
      <w:r>
        <w:rPr>
          <w:rFonts w:cs="Times New Roman"/>
          <w:sz w:val="24"/>
        </w:rPr>
        <w:t>(1)</w:t>
      </w:r>
      <w:r>
        <w:rPr>
          <w:rFonts w:cs="Times New Roman"/>
          <w:sz w:val="24"/>
        </w:rPr>
        <w:t>水相溶液配制：将丙烯酰胺、乙烯基吡咯烷酮、</w:t>
      </w:r>
      <w:r>
        <w:rPr>
          <w:rFonts w:cs="Times New Roman"/>
          <w:sz w:val="24"/>
        </w:rPr>
        <w:fldChar w:fldCharType="begin"/>
      </w:r>
      <w:r>
        <w:rPr>
          <w:rFonts w:cs="Times New Roman"/>
          <w:sz w:val="24"/>
        </w:rPr>
        <w:instrText xml:space="preserve"> HYPERLINK "http://www.baidu.com/link?url=X8kXPeYkS7oVqdWsZ53gB9GhYT_Cb6EhoR09ebqXvtB5xF9wBkDP28rrPybOzMiH66dtEmEZCGCMD9CfTcSjx82YbhBqGDZIK068GbPsGj-f5RxoTNXbnIg_xeHPdd2xpCdRi</w:instrText>
      </w:r>
      <w:r>
        <w:rPr>
          <w:rFonts w:cs="Times New Roman"/>
          <w:sz w:val="24"/>
        </w:rPr>
        <w:instrText xml:space="preserve">qgBvadLkhMi6P1kucRKAvRoKzbp9-4n6TYJJGu" \t "_blank" </w:instrText>
      </w:r>
      <w:r>
        <w:rPr>
          <w:rFonts w:cs="Times New Roman"/>
          <w:sz w:val="24"/>
        </w:rPr>
        <w:fldChar w:fldCharType="separate"/>
      </w:r>
      <w:r>
        <w:rPr>
          <w:rFonts w:cs="Times New Roman"/>
          <w:sz w:val="24"/>
        </w:rPr>
        <w:t>N,N</w:t>
      </w:r>
      <w:proofErr w:type="gramStart"/>
      <w:r>
        <w:rPr>
          <w:rFonts w:cs="Times New Roman"/>
          <w:sz w:val="24"/>
        </w:rPr>
        <w:t>’</w:t>
      </w:r>
      <w:proofErr w:type="gramEnd"/>
      <w:r>
        <w:rPr>
          <w:rFonts w:cs="Times New Roman"/>
          <w:sz w:val="24"/>
        </w:rPr>
        <w:t>-</w:t>
      </w:r>
      <w:r>
        <w:rPr>
          <w:rFonts w:cs="Times New Roman"/>
          <w:sz w:val="24"/>
        </w:rPr>
        <w:t>亚甲基双丙烯酰胺</w:t>
      </w:r>
      <w:r>
        <w:rPr>
          <w:rFonts w:cs="Times New Roman"/>
          <w:sz w:val="24"/>
        </w:rPr>
        <w:fldChar w:fldCharType="end"/>
      </w:r>
      <w:r>
        <w:rPr>
          <w:rFonts w:cs="Times New Roman" w:hint="eastAsia"/>
          <w:sz w:val="24"/>
        </w:rPr>
        <w:t>、</w:t>
      </w:r>
      <w:r>
        <w:rPr>
          <w:rFonts w:cs="Times New Roman"/>
          <w:sz w:val="24"/>
        </w:rPr>
        <w:t>烷基</w:t>
      </w:r>
      <w:proofErr w:type="gramStart"/>
      <w:r>
        <w:rPr>
          <w:rFonts w:cs="Times New Roman"/>
          <w:sz w:val="24"/>
        </w:rPr>
        <w:t>醇</w:t>
      </w:r>
      <w:proofErr w:type="gramEnd"/>
      <w:r>
        <w:rPr>
          <w:rFonts w:cs="Times New Roman"/>
          <w:sz w:val="24"/>
        </w:rPr>
        <w:t>酰胺和烷基</w:t>
      </w:r>
      <w:proofErr w:type="gramStart"/>
      <w:r>
        <w:rPr>
          <w:rFonts w:cs="Times New Roman"/>
          <w:sz w:val="24"/>
        </w:rPr>
        <w:t>醇聚氧</w:t>
      </w:r>
      <w:proofErr w:type="gramEnd"/>
      <w:r>
        <w:rPr>
          <w:rFonts w:cs="Times New Roman"/>
          <w:sz w:val="24"/>
        </w:rPr>
        <w:t>乙烯醚磺酸盐表面活性剂加入到去离子水中，搅拌至溶液澄清透明，备用。</w:t>
      </w:r>
    </w:p>
    <w:p w:rsidR="0022448D" w:rsidRDefault="00063D19">
      <w:pPr>
        <w:spacing w:line="360" w:lineRule="auto"/>
        <w:ind w:firstLineChars="200" w:firstLine="480"/>
        <w:rPr>
          <w:rFonts w:cs="Times New Roman"/>
          <w:sz w:val="24"/>
        </w:rPr>
      </w:pPr>
      <w:r>
        <w:rPr>
          <w:rFonts w:cs="Times New Roman"/>
          <w:sz w:val="24"/>
        </w:rPr>
        <w:t>(2)</w:t>
      </w:r>
      <w:r>
        <w:rPr>
          <w:rFonts w:cs="Times New Roman"/>
          <w:sz w:val="24"/>
        </w:rPr>
        <w:t>油相溶液配制：将</w:t>
      </w:r>
      <w:r>
        <w:rPr>
          <w:rFonts w:cs="Times New Roman" w:hint="eastAsia"/>
          <w:sz w:val="24"/>
        </w:rPr>
        <w:t>油酸</w:t>
      </w:r>
      <w:r>
        <w:rPr>
          <w:rFonts w:cs="Times New Roman"/>
          <w:sz w:val="24"/>
        </w:rPr>
        <w:t>加入到油相中，搅拌均匀至溶液澄清透明，备用。</w:t>
      </w:r>
    </w:p>
    <w:p w:rsidR="0022448D" w:rsidRDefault="00063D19">
      <w:pPr>
        <w:spacing w:line="360" w:lineRule="auto"/>
        <w:ind w:firstLineChars="200" w:firstLine="480"/>
        <w:rPr>
          <w:rFonts w:cs="Times New Roman"/>
          <w:sz w:val="24"/>
        </w:rPr>
      </w:pPr>
      <w:r>
        <w:rPr>
          <w:rFonts w:cs="Times New Roman"/>
          <w:sz w:val="24"/>
        </w:rPr>
        <w:t>(3)</w:t>
      </w:r>
      <w:r>
        <w:rPr>
          <w:rFonts w:cs="Times New Roman"/>
          <w:sz w:val="24"/>
        </w:rPr>
        <w:t>乳液体系的配制：将油相溶液加入到带机械搅拌、惰性气体入口</w:t>
      </w:r>
      <w:r>
        <w:rPr>
          <w:rFonts w:cs="Times New Roman"/>
          <w:sz w:val="24"/>
        </w:rPr>
        <w:t>/</w:t>
      </w:r>
      <w:r>
        <w:rPr>
          <w:rFonts w:cs="Times New Roman"/>
          <w:sz w:val="24"/>
        </w:rPr>
        <w:t>出口的三口烧瓶中，在</w:t>
      </w:r>
      <w:r>
        <w:rPr>
          <w:rFonts w:cs="Times New Roman"/>
          <w:sz w:val="24"/>
        </w:rPr>
        <w:t>800r/min</w:t>
      </w:r>
      <w:r>
        <w:rPr>
          <w:rFonts w:cs="Times New Roman" w:hint="eastAsia"/>
          <w:sz w:val="24"/>
        </w:rPr>
        <w:t>～</w:t>
      </w:r>
      <w:r>
        <w:rPr>
          <w:rFonts w:cs="Times New Roman"/>
          <w:sz w:val="24"/>
        </w:rPr>
        <w:t>1000r/min</w:t>
      </w:r>
      <w:r>
        <w:rPr>
          <w:rFonts w:cs="Times New Roman" w:hint="eastAsia"/>
          <w:sz w:val="24"/>
        </w:rPr>
        <w:t>的</w:t>
      </w:r>
      <w:r>
        <w:rPr>
          <w:rFonts w:cs="Times New Roman"/>
          <w:sz w:val="24"/>
        </w:rPr>
        <w:t>高速机械搅拌条件下，缓慢将水相溶液加入到油相</w:t>
      </w:r>
      <w:r>
        <w:rPr>
          <w:rFonts w:cs="Times New Roman" w:hint="eastAsia"/>
          <w:sz w:val="24"/>
        </w:rPr>
        <w:t>溶液</w:t>
      </w:r>
      <w:r>
        <w:rPr>
          <w:rFonts w:cs="Times New Roman"/>
          <w:sz w:val="24"/>
        </w:rPr>
        <w:t>中，加入完全后开始通入惰性气体</w:t>
      </w:r>
      <w:r>
        <w:rPr>
          <w:rFonts w:cs="Times New Roman"/>
          <w:sz w:val="24"/>
        </w:rPr>
        <w:t>30min</w:t>
      </w:r>
      <w:r>
        <w:rPr>
          <w:rFonts w:cs="Times New Roman"/>
          <w:sz w:val="24"/>
        </w:rPr>
        <w:t>，</w:t>
      </w:r>
      <w:r>
        <w:rPr>
          <w:rFonts w:cs="Times New Roman"/>
          <w:sz w:val="24"/>
        </w:rPr>
        <w:t>使得乳液体系处于脱氧条件</w:t>
      </w:r>
      <w:r>
        <w:rPr>
          <w:rFonts w:cs="Times New Roman" w:hint="eastAsia"/>
          <w:sz w:val="24"/>
        </w:rPr>
        <w:t>，</w:t>
      </w:r>
      <w:r>
        <w:rPr>
          <w:rFonts w:cs="Times New Roman"/>
          <w:sz w:val="24"/>
        </w:rPr>
        <w:t>再降低机械搅拌速率至</w:t>
      </w:r>
      <w:r>
        <w:rPr>
          <w:rFonts w:cs="Times New Roman"/>
          <w:sz w:val="24"/>
        </w:rPr>
        <w:t>200min</w:t>
      </w:r>
      <w:r>
        <w:rPr>
          <w:rFonts w:cs="Times New Roman" w:hint="eastAsia"/>
          <w:sz w:val="24"/>
        </w:rPr>
        <w:t>～</w:t>
      </w:r>
      <w:r>
        <w:rPr>
          <w:rFonts w:cs="Times New Roman"/>
          <w:sz w:val="24"/>
        </w:rPr>
        <w:t>400r/min</w:t>
      </w:r>
      <w:r>
        <w:rPr>
          <w:rFonts w:cs="Times New Roman"/>
          <w:sz w:val="24"/>
        </w:rPr>
        <w:t>，加入引发剂后再升温三口烧瓶至</w:t>
      </w:r>
      <w:r>
        <w:rPr>
          <w:rFonts w:cs="Times New Roman"/>
          <w:sz w:val="24"/>
        </w:rPr>
        <w:t>45°C</w:t>
      </w:r>
      <w:r>
        <w:rPr>
          <w:rFonts w:cs="Times New Roman" w:hint="eastAsia"/>
          <w:sz w:val="24"/>
        </w:rPr>
        <w:t>～</w:t>
      </w:r>
      <w:r>
        <w:rPr>
          <w:rFonts w:cs="Times New Roman"/>
          <w:sz w:val="24"/>
        </w:rPr>
        <w:t>50°C</w:t>
      </w:r>
      <w:r>
        <w:rPr>
          <w:rFonts w:cs="Times New Roman"/>
          <w:sz w:val="24"/>
        </w:rPr>
        <w:t>，反应</w:t>
      </w:r>
      <w:r>
        <w:rPr>
          <w:rFonts w:cs="Times New Roman"/>
          <w:sz w:val="24"/>
        </w:rPr>
        <w:t>2h</w:t>
      </w:r>
      <w:r>
        <w:rPr>
          <w:rFonts w:cs="Times New Roman" w:hint="eastAsia"/>
          <w:sz w:val="24"/>
        </w:rPr>
        <w:t>～</w:t>
      </w:r>
      <w:r>
        <w:rPr>
          <w:rFonts w:cs="Times New Roman"/>
          <w:sz w:val="24"/>
        </w:rPr>
        <w:t>3h</w:t>
      </w:r>
      <w:r>
        <w:rPr>
          <w:rFonts w:cs="Times New Roman"/>
          <w:sz w:val="24"/>
        </w:rPr>
        <w:t>，形成聚合物微球尺寸在</w:t>
      </w:r>
      <w:r>
        <w:rPr>
          <w:rFonts w:cs="Times New Roman"/>
          <w:sz w:val="24"/>
        </w:rPr>
        <w:t>0.1μm</w:t>
      </w:r>
      <w:r>
        <w:rPr>
          <w:rFonts w:cs="Times New Roman" w:hint="eastAsia"/>
          <w:sz w:val="24"/>
        </w:rPr>
        <w:t>～</w:t>
      </w:r>
      <w:r>
        <w:rPr>
          <w:rFonts w:cs="Times New Roman"/>
          <w:sz w:val="24"/>
        </w:rPr>
        <w:t>100μm</w:t>
      </w:r>
      <w:r>
        <w:rPr>
          <w:rFonts w:cs="Times New Roman"/>
          <w:sz w:val="24"/>
        </w:rPr>
        <w:t>的双重调控体系。</w:t>
      </w:r>
    </w:p>
    <w:p w:rsidR="0022448D" w:rsidRDefault="00063D19">
      <w:pPr>
        <w:spacing w:line="360" w:lineRule="auto"/>
        <w:ind w:firstLineChars="200" w:firstLine="480"/>
        <w:rPr>
          <w:rFonts w:cs="Times New Roman"/>
          <w:sz w:val="24"/>
        </w:rPr>
      </w:pPr>
      <w:r>
        <w:rPr>
          <w:rFonts w:cs="Times New Roman" w:hint="eastAsia"/>
          <w:sz w:val="24"/>
        </w:rPr>
        <w:t>进一步的，所述的油相为煤油、白油、柴油中的至少一种</w:t>
      </w:r>
      <w:r>
        <w:rPr>
          <w:rFonts w:cs="Times New Roman" w:hint="eastAsia"/>
          <w:sz w:val="24"/>
        </w:rPr>
        <w:t>。</w:t>
      </w:r>
    </w:p>
    <w:p w:rsidR="0022448D" w:rsidRDefault="00063D19">
      <w:pPr>
        <w:spacing w:line="360" w:lineRule="auto"/>
        <w:ind w:firstLineChars="200" w:firstLine="480"/>
        <w:rPr>
          <w:rFonts w:cs="Times New Roman"/>
          <w:sz w:val="24"/>
        </w:rPr>
      </w:pPr>
      <w:r>
        <w:rPr>
          <w:rFonts w:cs="Times New Roman" w:hint="eastAsia"/>
          <w:sz w:val="24"/>
        </w:rPr>
        <w:t>进一步的，所述</w:t>
      </w:r>
      <w:r>
        <w:rPr>
          <w:rFonts w:cs="Times New Roman"/>
          <w:sz w:val="24"/>
        </w:rPr>
        <w:t>惰性气体</w:t>
      </w:r>
      <w:r>
        <w:rPr>
          <w:rFonts w:cs="Times New Roman" w:hint="eastAsia"/>
          <w:sz w:val="24"/>
        </w:rPr>
        <w:t>为</w:t>
      </w:r>
      <w:r>
        <w:rPr>
          <w:rFonts w:cs="Times New Roman"/>
          <w:sz w:val="24"/>
        </w:rPr>
        <w:t>氦气、氮气或氩气</w:t>
      </w:r>
      <w:r>
        <w:rPr>
          <w:rFonts w:cs="Times New Roman" w:hint="eastAsia"/>
          <w:sz w:val="24"/>
        </w:rPr>
        <w:t>中的一种。</w:t>
      </w:r>
    </w:p>
    <w:p w:rsidR="0022448D" w:rsidRDefault="00063D19">
      <w:pPr>
        <w:spacing w:line="360" w:lineRule="auto"/>
        <w:ind w:firstLineChars="200" w:firstLine="480"/>
        <w:rPr>
          <w:rFonts w:cs="Times New Roman"/>
          <w:sz w:val="24"/>
        </w:rPr>
      </w:pPr>
      <w:r>
        <w:rPr>
          <w:rFonts w:cs="Times New Roman" w:hint="eastAsia"/>
          <w:sz w:val="24"/>
        </w:rPr>
        <w:t>进一步的，</w:t>
      </w:r>
      <w:r>
        <w:rPr>
          <w:rFonts w:cs="Times New Roman"/>
          <w:sz w:val="24"/>
        </w:rPr>
        <w:t>所述的烷基醇酰胺结构</w:t>
      </w:r>
      <w:r>
        <w:rPr>
          <w:rFonts w:cs="Times New Roman" w:hint="eastAsia"/>
          <w:sz w:val="24"/>
        </w:rPr>
        <w:t>简</w:t>
      </w:r>
      <w:r>
        <w:rPr>
          <w:rFonts w:cs="Times New Roman"/>
          <w:sz w:val="24"/>
        </w:rPr>
        <w:t>式为：</w:t>
      </w:r>
    </w:p>
    <w:p w:rsidR="0022448D" w:rsidRDefault="00063D19">
      <w:pPr>
        <w:spacing w:line="360" w:lineRule="auto"/>
        <w:ind w:firstLineChars="200" w:firstLine="480"/>
        <w:jc w:val="center"/>
        <w:rPr>
          <w:rFonts w:cs="Times New Roman"/>
          <w:sz w:val="24"/>
        </w:rPr>
      </w:pPr>
      <w:r>
        <w:rPr>
          <w:rFonts w:cs="Times New Roman"/>
          <w:sz w:val="24"/>
        </w:rPr>
        <w:object w:dxaOrig="2911" w:dyaOrig="309">
          <v:shape id="_x0000_i1027" type="#_x0000_t75" style="width:145.55pt;height:15.45pt" o:ole="">
            <v:imagedata r:id="rId16" o:title=""/>
          </v:shape>
          <o:OLEObject Type="Embed" ProgID="ChemDraw.Document.6.0" ShapeID="_x0000_i1027" DrawAspect="Content" ObjectID="_1618659094" r:id="rId23"/>
        </w:object>
      </w:r>
    </w:p>
    <w:p w:rsidR="0022448D" w:rsidRDefault="00063D19">
      <w:pPr>
        <w:spacing w:line="360" w:lineRule="auto"/>
        <w:ind w:firstLineChars="200" w:firstLine="480"/>
        <w:rPr>
          <w:rFonts w:cs="Times New Roman"/>
          <w:sz w:val="24"/>
        </w:rPr>
      </w:pPr>
      <w:r>
        <w:rPr>
          <w:rFonts w:cs="Times New Roman" w:hint="eastAsia"/>
          <w:sz w:val="24"/>
        </w:rPr>
        <w:t>其中，</w:t>
      </w:r>
      <w:r>
        <w:rPr>
          <w:rFonts w:cs="Times New Roman"/>
          <w:sz w:val="24"/>
        </w:rPr>
        <w:t>n</w:t>
      </w:r>
      <w:r>
        <w:rPr>
          <w:rFonts w:cs="Times New Roman"/>
          <w:sz w:val="24"/>
        </w:rPr>
        <w:t>为</w:t>
      </w:r>
      <w:r>
        <w:rPr>
          <w:rFonts w:cs="Times New Roman"/>
          <w:sz w:val="24"/>
        </w:rPr>
        <w:t>11</w:t>
      </w:r>
      <w:r>
        <w:rPr>
          <w:rFonts w:cs="Times New Roman" w:hint="eastAsia"/>
          <w:sz w:val="24"/>
        </w:rPr>
        <w:t>～</w:t>
      </w:r>
      <w:r>
        <w:rPr>
          <w:rFonts w:cs="Times New Roman"/>
          <w:sz w:val="24"/>
        </w:rPr>
        <w:t>15</w:t>
      </w:r>
      <w:r>
        <w:rPr>
          <w:rFonts w:cs="Times New Roman"/>
          <w:sz w:val="24"/>
        </w:rPr>
        <w:t>。</w:t>
      </w:r>
    </w:p>
    <w:p w:rsidR="0022448D" w:rsidRDefault="00063D19">
      <w:pPr>
        <w:spacing w:line="360" w:lineRule="auto"/>
        <w:ind w:firstLineChars="200" w:firstLine="480"/>
        <w:rPr>
          <w:rFonts w:cs="Times New Roman"/>
          <w:sz w:val="24"/>
        </w:rPr>
      </w:pPr>
      <w:r>
        <w:rPr>
          <w:rFonts w:cs="Times New Roman" w:hint="eastAsia"/>
          <w:sz w:val="24"/>
        </w:rPr>
        <w:t>进一步的，</w:t>
      </w:r>
      <w:r>
        <w:rPr>
          <w:rFonts w:cs="Times New Roman"/>
          <w:sz w:val="24"/>
        </w:rPr>
        <w:t>所述的烷基酚聚氧乙烯醚磺酸盐结构</w:t>
      </w:r>
      <w:r>
        <w:rPr>
          <w:rFonts w:cs="Times New Roman" w:hint="eastAsia"/>
          <w:sz w:val="24"/>
        </w:rPr>
        <w:t>简</w:t>
      </w:r>
      <w:r>
        <w:rPr>
          <w:rFonts w:cs="Times New Roman"/>
          <w:sz w:val="24"/>
        </w:rPr>
        <w:t>式为：</w:t>
      </w:r>
    </w:p>
    <w:p w:rsidR="0022448D" w:rsidRDefault="00063D19">
      <w:pPr>
        <w:spacing w:line="360" w:lineRule="auto"/>
        <w:ind w:firstLineChars="200" w:firstLine="480"/>
        <w:jc w:val="center"/>
        <w:rPr>
          <w:rFonts w:cs="Times New Roman"/>
          <w:sz w:val="24"/>
        </w:rPr>
      </w:pPr>
      <w:r>
        <w:rPr>
          <w:rFonts w:cs="Times New Roman"/>
          <w:sz w:val="24"/>
        </w:rPr>
        <w:object w:dxaOrig="5036" w:dyaOrig="689">
          <v:shape id="_x0000_i1028" type="#_x0000_t75" style="width:251.8pt;height:34.45pt" o:ole="">
            <v:imagedata r:id="rId18" o:title=""/>
          </v:shape>
          <o:OLEObject Type="Embed" ProgID="ChemDraw.Document.6.0" ShapeID="_x0000_i1028" DrawAspect="Content" ObjectID="_1618659095" r:id="rId24"/>
        </w:object>
      </w:r>
    </w:p>
    <w:p w:rsidR="0022448D" w:rsidRDefault="00063D19">
      <w:pPr>
        <w:spacing w:line="360" w:lineRule="auto"/>
        <w:ind w:firstLineChars="200" w:firstLine="480"/>
        <w:rPr>
          <w:rFonts w:cs="Times New Roman"/>
          <w:sz w:val="24"/>
        </w:rPr>
      </w:pPr>
      <w:r>
        <w:rPr>
          <w:rFonts w:cs="Times New Roman" w:hint="eastAsia"/>
          <w:sz w:val="24"/>
        </w:rPr>
        <w:t>其中，</w:t>
      </w:r>
      <w:r>
        <w:rPr>
          <w:rFonts w:cs="Times New Roman"/>
          <w:sz w:val="24"/>
        </w:rPr>
        <w:t>m</w:t>
      </w:r>
      <w:r>
        <w:rPr>
          <w:rFonts w:cs="Times New Roman"/>
          <w:sz w:val="24"/>
        </w:rPr>
        <w:t>为</w:t>
      </w:r>
      <w:r>
        <w:rPr>
          <w:rFonts w:cs="Times New Roman"/>
          <w:sz w:val="24"/>
        </w:rPr>
        <w:t>8</w:t>
      </w:r>
      <w:r>
        <w:rPr>
          <w:rFonts w:cs="Times New Roman" w:hint="eastAsia"/>
          <w:sz w:val="24"/>
        </w:rPr>
        <w:t>～</w:t>
      </w:r>
      <w:r>
        <w:rPr>
          <w:rFonts w:cs="Times New Roman"/>
          <w:sz w:val="24"/>
        </w:rPr>
        <w:t>10</w:t>
      </w:r>
      <w:r>
        <w:rPr>
          <w:rFonts w:cs="Times New Roman"/>
          <w:sz w:val="24"/>
        </w:rPr>
        <w:t>，</w:t>
      </w:r>
      <w:r>
        <w:rPr>
          <w:rFonts w:cs="Times New Roman"/>
          <w:sz w:val="24"/>
        </w:rPr>
        <w:t>o</w:t>
      </w:r>
      <w:r>
        <w:rPr>
          <w:rFonts w:cs="Times New Roman"/>
          <w:sz w:val="24"/>
        </w:rPr>
        <w:t>为</w:t>
      </w:r>
      <w:r>
        <w:rPr>
          <w:rFonts w:cs="Times New Roman"/>
          <w:sz w:val="24"/>
        </w:rPr>
        <w:t>10</w:t>
      </w:r>
      <w:r>
        <w:rPr>
          <w:rFonts w:cs="Times New Roman" w:hint="eastAsia"/>
          <w:sz w:val="24"/>
        </w:rPr>
        <w:t>～</w:t>
      </w:r>
      <w:r>
        <w:rPr>
          <w:rFonts w:cs="Times New Roman"/>
          <w:sz w:val="24"/>
        </w:rPr>
        <w:t>40</w:t>
      </w:r>
      <w:r>
        <w:rPr>
          <w:rFonts w:cs="Times New Roman"/>
          <w:sz w:val="24"/>
        </w:rPr>
        <w:t>。</w:t>
      </w:r>
    </w:p>
    <w:p w:rsidR="0022448D" w:rsidRDefault="00063D19">
      <w:pPr>
        <w:spacing w:line="360" w:lineRule="auto"/>
        <w:ind w:firstLineChars="200" w:firstLine="480"/>
        <w:rPr>
          <w:rFonts w:cs="Times New Roman"/>
          <w:sz w:val="24"/>
        </w:rPr>
      </w:pPr>
      <w:r>
        <w:rPr>
          <w:rFonts w:cs="Times New Roman" w:hint="eastAsia"/>
          <w:sz w:val="24"/>
        </w:rPr>
        <w:t>本发明还公布了</w:t>
      </w:r>
      <w:r>
        <w:rPr>
          <w:rFonts w:cs="Times New Roman"/>
          <w:sz w:val="24"/>
        </w:rPr>
        <w:t>一种高温高盐非均质性油藏双重调驱体系</w:t>
      </w:r>
      <w:r>
        <w:rPr>
          <w:rFonts w:cs="Times New Roman" w:hint="eastAsia"/>
          <w:sz w:val="24"/>
        </w:rPr>
        <w:t>的应用，其主要应用于</w:t>
      </w:r>
      <w:r>
        <w:rPr>
          <w:rFonts w:cs="Times New Roman"/>
          <w:sz w:val="24"/>
        </w:rPr>
        <w:t>高温高盐非均质性油藏</w:t>
      </w:r>
      <w:r>
        <w:rPr>
          <w:rFonts w:cs="Times New Roman" w:hint="eastAsia"/>
          <w:sz w:val="24"/>
        </w:rPr>
        <w:t>的化学驱中。</w:t>
      </w:r>
    </w:p>
    <w:p w:rsidR="0022448D" w:rsidRDefault="00063D19">
      <w:pPr>
        <w:spacing w:line="360" w:lineRule="auto"/>
        <w:rPr>
          <w:rFonts w:cs="Times New Roman"/>
          <w:sz w:val="24"/>
        </w:rPr>
      </w:pPr>
      <w:r>
        <w:rPr>
          <w:rFonts w:cs="Times New Roman"/>
          <w:sz w:val="24"/>
        </w:rPr>
        <w:t>与现有调驱体系相比，本发明有如下有益效果：</w:t>
      </w:r>
    </w:p>
    <w:p w:rsidR="0022448D" w:rsidRDefault="00063D19">
      <w:pPr>
        <w:numPr>
          <w:ilvl w:val="0"/>
          <w:numId w:val="4"/>
        </w:numPr>
        <w:spacing w:line="360" w:lineRule="auto"/>
        <w:ind w:firstLineChars="200" w:firstLine="480"/>
        <w:rPr>
          <w:rFonts w:cs="Times New Roman"/>
          <w:sz w:val="24"/>
        </w:rPr>
      </w:pPr>
      <w:r>
        <w:rPr>
          <w:rFonts w:cs="Times New Roman"/>
          <w:sz w:val="24"/>
        </w:rPr>
        <w:lastRenderedPageBreak/>
        <w:t>双重调驱体系能够将油水界面张力降低至</w:t>
      </w:r>
      <w:r>
        <w:rPr>
          <w:rFonts w:ascii="Arial" w:hAnsi="Arial" w:cs="Arial"/>
          <w:sz w:val="24"/>
        </w:rPr>
        <w:t>10</w:t>
      </w:r>
      <w:r>
        <w:rPr>
          <w:rFonts w:ascii="Arial" w:hAnsi="Arial" w:cs="Arial"/>
          <w:sz w:val="24"/>
          <w:vertAlign w:val="superscript"/>
        </w:rPr>
        <w:t>-2</w:t>
      </w:r>
      <w:r>
        <w:rPr>
          <w:rFonts w:ascii="Arial" w:hAnsi="Arial" w:cs="Arial" w:hint="eastAsia"/>
          <w:sz w:val="24"/>
        </w:rPr>
        <w:t>～</w:t>
      </w:r>
      <w:r>
        <w:rPr>
          <w:rFonts w:ascii="Arial" w:hAnsi="Arial" w:cs="Arial"/>
          <w:sz w:val="24"/>
        </w:rPr>
        <w:t>10</w:t>
      </w:r>
      <w:r>
        <w:rPr>
          <w:rFonts w:ascii="Arial" w:hAnsi="Arial" w:cs="Arial"/>
          <w:sz w:val="24"/>
          <w:vertAlign w:val="superscript"/>
        </w:rPr>
        <w:t>-3</w:t>
      </w:r>
      <w:r>
        <w:rPr>
          <w:rFonts w:ascii="Arial" w:hAnsi="Arial" w:cs="Arial"/>
          <w:sz w:val="24"/>
        </w:rPr>
        <w:t>mN/m</w:t>
      </w:r>
      <w:r>
        <w:rPr>
          <w:rFonts w:cs="Times New Roman"/>
          <w:sz w:val="24"/>
        </w:rPr>
        <w:t>，在含水率低于</w:t>
      </w:r>
      <w:r>
        <w:rPr>
          <w:rFonts w:cs="Times New Roman" w:hint="eastAsia"/>
          <w:sz w:val="24"/>
        </w:rPr>
        <w:t>9</w:t>
      </w:r>
      <w:r>
        <w:rPr>
          <w:rFonts w:cs="Times New Roman"/>
          <w:sz w:val="24"/>
        </w:rPr>
        <w:t>0%</w:t>
      </w:r>
      <w:r>
        <w:rPr>
          <w:rFonts w:cs="Times New Roman"/>
          <w:sz w:val="24"/>
        </w:rPr>
        <w:t>时，双重调控体系能够乳化原油</w:t>
      </w:r>
      <w:r>
        <w:rPr>
          <w:rFonts w:cs="Times New Roman" w:hint="eastAsia"/>
          <w:sz w:val="24"/>
        </w:rPr>
        <w:t>并</w:t>
      </w:r>
      <w:r>
        <w:rPr>
          <w:rFonts w:cs="Times New Roman"/>
          <w:sz w:val="24"/>
        </w:rPr>
        <w:t>形成油包水</w:t>
      </w:r>
      <w:r>
        <w:rPr>
          <w:rFonts w:cs="Times New Roman" w:hint="eastAsia"/>
          <w:sz w:val="24"/>
        </w:rPr>
        <w:t>的乳状液。</w:t>
      </w:r>
    </w:p>
    <w:p w:rsidR="0022448D" w:rsidRDefault="00063D19">
      <w:pPr>
        <w:numPr>
          <w:ilvl w:val="0"/>
          <w:numId w:val="4"/>
        </w:numPr>
        <w:spacing w:line="360" w:lineRule="auto"/>
        <w:ind w:firstLineChars="200" w:firstLine="480"/>
        <w:rPr>
          <w:rFonts w:cs="Times New Roman"/>
          <w:sz w:val="24"/>
        </w:rPr>
      </w:pPr>
      <w:r>
        <w:rPr>
          <w:rFonts w:cs="Times New Roman" w:hint="eastAsia"/>
          <w:sz w:val="24"/>
        </w:rPr>
        <w:t>该乳状液在含水率不同时黏度也不同</w:t>
      </w:r>
      <w:r>
        <w:rPr>
          <w:rFonts w:cs="Times New Roman"/>
          <w:sz w:val="24"/>
        </w:rPr>
        <w:t>，</w:t>
      </w:r>
      <w:r>
        <w:rPr>
          <w:rFonts w:cs="Times New Roman" w:hint="eastAsia"/>
          <w:sz w:val="24"/>
        </w:rPr>
        <w:t>且其</w:t>
      </w:r>
      <w:r>
        <w:rPr>
          <w:rFonts w:cs="Times New Roman"/>
          <w:sz w:val="24"/>
        </w:rPr>
        <w:t>黏度</w:t>
      </w:r>
      <w:r>
        <w:rPr>
          <w:rFonts w:cs="Times New Roman" w:hint="eastAsia"/>
          <w:sz w:val="24"/>
        </w:rPr>
        <w:t>均</w:t>
      </w:r>
      <w:r>
        <w:rPr>
          <w:rFonts w:cs="Times New Roman"/>
          <w:sz w:val="24"/>
        </w:rPr>
        <w:t>高于地下原油黏度，</w:t>
      </w:r>
      <w:r>
        <w:rPr>
          <w:rFonts w:cs="Times New Roman" w:hint="eastAsia"/>
          <w:sz w:val="24"/>
        </w:rPr>
        <w:t>当含水率在</w:t>
      </w:r>
      <w:r>
        <w:rPr>
          <w:rFonts w:cs="Times New Roman" w:hint="eastAsia"/>
          <w:sz w:val="24"/>
        </w:rPr>
        <w:t>30%-90%</w:t>
      </w:r>
      <w:r>
        <w:rPr>
          <w:rFonts w:cs="Times New Roman" w:hint="eastAsia"/>
          <w:sz w:val="24"/>
        </w:rPr>
        <w:t>范围内时，乳状液的黏度是原油黏度的数倍，表现出良好的流度自控能力。</w:t>
      </w:r>
    </w:p>
    <w:p w:rsidR="0022448D" w:rsidRDefault="00063D19">
      <w:pPr>
        <w:numPr>
          <w:ilvl w:val="0"/>
          <w:numId w:val="4"/>
        </w:numPr>
        <w:spacing w:line="360" w:lineRule="auto"/>
        <w:ind w:firstLineChars="200" w:firstLine="480"/>
        <w:rPr>
          <w:rFonts w:cs="Times New Roman"/>
          <w:sz w:val="24"/>
        </w:rPr>
      </w:pPr>
      <w:r>
        <w:rPr>
          <w:rFonts w:cs="Times New Roman"/>
          <w:sz w:val="24"/>
        </w:rPr>
        <w:t>乳状液的液滴尺寸可控，通过贾敏效应改善储层非均质性，同时与微球耦合调控，进一步改善油藏的非均质性、显著提高高温高盐非均质性油藏采收率。</w:t>
      </w:r>
    </w:p>
    <w:p w:rsidR="0022448D" w:rsidRDefault="00063D19">
      <w:pPr>
        <w:spacing w:line="360" w:lineRule="auto"/>
        <w:rPr>
          <w:rFonts w:cs="Times New Roman"/>
          <w:b/>
          <w:bCs/>
          <w:sz w:val="24"/>
        </w:rPr>
      </w:pPr>
      <w:r>
        <w:rPr>
          <w:rFonts w:cs="Times New Roman" w:hint="eastAsia"/>
          <w:b/>
          <w:bCs/>
          <w:sz w:val="24"/>
        </w:rPr>
        <w:t>附图说明：</w:t>
      </w:r>
    </w:p>
    <w:p w:rsidR="0022448D" w:rsidRDefault="00063D19">
      <w:pPr>
        <w:spacing w:line="360" w:lineRule="auto"/>
        <w:ind w:firstLineChars="200" w:firstLine="480"/>
        <w:rPr>
          <w:rFonts w:cs="Times New Roman"/>
          <w:sz w:val="24"/>
        </w:rPr>
      </w:pPr>
      <w:r>
        <w:rPr>
          <w:rFonts w:cs="Times New Roman" w:hint="eastAsia"/>
          <w:sz w:val="24"/>
        </w:rPr>
        <w:t>图</w:t>
      </w:r>
      <w:r>
        <w:rPr>
          <w:rFonts w:cs="Times New Roman" w:hint="eastAsia"/>
          <w:sz w:val="24"/>
        </w:rPr>
        <w:t>1</w:t>
      </w:r>
      <w:r>
        <w:rPr>
          <w:rFonts w:cs="Times New Roman" w:hint="eastAsia"/>
          <w:sz w:val="24"/>
        </w:rPr>
        <w:t>、普通聚合物微球调驱实验效果图；</w:t>
      </w:r>
    </w:p>
    <w:p w:rsidR="0022448D" w:rsidRDefault="00063D19">
      <w:pPr>
        <w:spacing w:line="360" w:lineRule="auto"/>
        <w:ind w:firstLineChars="200" w:firstLine="480"/>
        <w:rPr>
          <w:rFonts w:cs="Times New Roman"/>
          <w:sz w:val="24"/>
        </w:rPr>
      </w:pPr>
      <w:r>
        <w:rPr>
          <w:rFonts w:cs="Times New Roman" w:hint="eastAsia"/>
          <w:sz w:val="24"/>
        </w:rPr>
        <w:t>图</w:t>
      </w:r>
      <w:r>
        <w:rPr>
          <w:rFonts w:cs="Times New Roman" w:hint="eastAsia"/>
          <w:sz w:val="24"/>
        </w:rPr>
        <w:t>2</w:t>
      </w:r>
      <w:r>
        <w:rPr>
          <w:rFonts w:cs="Times New Roman" w:hint="eastAsia"/>
          <w:sz w:val="24"/>
        </w:rPr>
        <w:t>、本发明调驱体系调驱试验效果图。</w:t>
      </w:r>
    </w:p>
    <w:p w:rsidR="0022448D" w:rsidRDefault="00063D19">
      <w:pPr>
        <w:spacing w:line="360" w:lineRule="auto"/>
        <w:rPr>
          <w:rFonts w:cs="Times New Roman"/>
          <w:b/>
          <w:bCs/>
          <w:sz w:val="24"/>
        </w:rPr>
      </w:pPr>
      <w:r>
        <w:rPr>
          <w:rFonts w:cs="Times New Roman" w:hint="eastAsia"/>
          <w:b/>
          <w:bCs/>
          <w:sz w:val="24"/>
        </w:rPr>
        <w:t>具体实施方式：</w:t>
      </w:r>
    </w:p>
    <w:p w:rsidR="0022448D" w:rsidRDefault="00063D19">
      <w:pPr>
        <w:spacing w:line="360" w:lineRule="auto"/>
        <w:ind w:firstLineChars="200" w:firstLine="480"/>
        <w:rPr>
          <w:rFonts w:cs="Times New Roman"/>
          <w:sz w:val="24"/>
        </w:rPr>
      </w:pPr>
      <w:r>
        <w:rPr>
          <w:rFonts w:cs="Times New Roman" w:hint="eastAsia"/>
          <w:sz w:val="24"/>
        </w:rPr>
        <w:t>下面将结合本发明实施例中的附图，对本发明实施例中的技术方案进行清楚、完整地描述，显然，所描述的实施例仅仅是本发明一部分实施例，而不是全部的实施例。基于本发明中的实施例，本领域普通技术人员在没有做出创</w:t>
      </w:r>
      <w:bookmarkStart w:id="0" w:name="OLE_LINK1"/>
      <w:r>
        <w:rPr>
          <w:rFonts w:cs="Times New Roman" w:hint="eastAsia"/>
          <w:sz w:val="24"/>
        </w:rPr>
        <w:t>造性劳动前提下所获得的所有其他实</w:t>
      </w:r>
      <w:bookmarkEnd w:id="0"/>
      <w:r>
        <w:rPr>
          <w:rFonts w:cs="Times New Roman" w:hint="eastAsia"/>
          <w:sz w:val="24"/>
        </w:rPr>
        <w:t>施例，都属于本发明保护的范围。</w:t>
      </w:r>
    </w:p>
    <w:p w:rsidR="0022448D" w:rsidRDefault="00063D19">
      <w:pPr>
        <w:spacing w:line="360" w:lineRule="auto"/>
        <w:ind w:firstLineChars="200" w:firstLine="480"/>
        <w:rPr>
          <w:rFonts w:cs="Times New Roman"/>
          <w:sz w:val="24"/>
        </w:rPr>
      </w:pPr>
      <w:r>
        <w:rPr>
          <w:rFonts w:cs="Times New Roman" w:hint="eastAsia"/>
          <w:sz w:val="24"/>
        </w:rPr>
        <w:t>下面结合实施例和附图对本发明进行进一步说明，但不限制本发明。</w:t>
      </w:r>
    </w:p>
    <w:p w:rsidR="0022448D" w:rsidRDefault="00063D19">
      <w:pPr>
        <w:spacing w:line="360" w:lineRule="auto"/>
        <w:ind w:firstLineChars="200" w:firstLine="480"/>
        <w:rPr>
          <w:rFonts w:cs="Times New Roman"/>
          <w:sz w:val="24"/>
        </w:rPr>
      </w:pPr>
      <w:r>
        <w:rPr>
          <w:rFonts w:cs="Times New Roman" w:hint="eastAsia"/>
          <w:sz w:val="24"/>
        </w:rPr>
        <w:t>实施例</w:t>
      </w:r>
      <w:r>
        <w:rPr>
          <w:rFonts w:cs="Times New Roman" w:hint="eastAsia"/>
          <w:sz w:val="24"/>
        </w:rPr>
        <w:t>1</w:t>
      </w:r>
      <w:r>
        <w:rPr>
          <w:rFonts w:cs="Times New Roman" w:hint="eastAsia"/>
          <w:sz w:val="24"/>
        </w:rPr>
        <w:t>：</w:t>
      </w:r>
    </w:p>
    <w:p w:rsidR="0022448D" w:rsidRDefault="00063D19">
      <w:pPr>
        <w:spacing w:line="360" w:lineRule="auto"/>
        <w:rPr>
          <w:rFonts w:cs="Times New Roman"/>
          <w:sz w:val="24"/>
        </w:rPr>
      </w:pPr>
      <w:r>
        <w:rPr>
          <w:rFonts w:cs="Times New Roman" w:hint="eastAsia"/>
          <w:sz w:val="24"/>
        </w:rPr>
        <w:t>（一）高温高盐非均质性油藏双重调驱体系的制备</w:t>
      </w:r>
    </w:p>
    <w:p w:rsidR="0022448D" w:rsidRDefault="00063D19">
      <w:pPr>
        <w:spacing w:line="360" w:lineRule="auto"/>
        <w:ind w:firstLineChars="200" w:firstLine="480"/>
        <w:rPr>
          <w:rFonts w:cs="Times New Roman"/>
          <w:sz w:val="24"/>
        </w:rPr>
      </w:pPr>
      <w:r>
        <w:rPr>
          <w:rFonts w:cs="Times New Roman" w:hint="eastAsia"/>
          <w:sz w:val="24"/>
        </w:rPr>
        <w:t>实验需分别配制油相溶液与水相溶液，油相溶液为白油与油酸</w:t>
      </w:r>
      <w:r>
        <w:rPr>
          <w:rFonts w:cs="Times New Roman"/>
          <w:sz w:val="24"/>
        </w:rPr>
        <w:t>的混合体系，水相</w:t>
      </w:r>
      <w:r>
        <w:rPr>
          <w:rFonts w:cs="Times New Roman" w:hint="eastAsia"/>
          <w:sz w:val="24"/>
        </w:rPr>
        <w:t>溶液</w:t>
      </w:r>
      <w:r>
        <w:rPr>
          <w:rFonts w:cs="Times New Roman"/>
          <w:sz w:val="24"/>
        </w:rPr>
        <w:t>为</w:t>
      </w:r>
      <w:r>
        <w:rPr>
          <w:rFonts w:cs="Times New Roman" w:hint="eastAsia"/>
          <w:sz w:val="24"/>
        </w:rPr>
        <w:t>去离子水</w:t>
      </w:r>
      <w:r>
        <w:rPr>
          <w:rFonts w:cs="Times New Roman"/>
          <w:sz w:val="24"/>
        </w:rPr>
        <w:t>、丙烯酰胺、乙烯基吡咯烷酮</w:t>
      </w:r>
      <w:r>
        <w:rPr>
          <w:rFonts w:cs="Times New Roman" w:hint="eastAsia"/>
          <w:sz w:val="24"/>
        </w:rPr>
        <w:t>、</w:t>
      </w:r>
      <w:r>
        <w:rPr>
          <w:rFonts w:cs="Times New Roman"/>
          <w:sz w:val="24"/>
        </w:rPr>
        <w:t>烷基醇酰胺与</w:t>
      </w:r>
      <w:r>
        <w:rPr>
          <w:rFonts w:cs="Times New Roman"/>
          <w:sz w:val="24"/>
        </w:rPr>
        <w:t>N,N</w:t>
      </w:r>
      <w:r>
        <w:rPr>
          <w:rFonts w:cs="Times New Roman"/>
          <w:sz w:val="24"/>
        </w:rPr>
        <w:t>-</w:t>
      </w:r>
      <w:r>
        <w:rPr>
          <w:rFonts w:cs="Times New Roman"/>
          <w:sz w:val="24"/>
        </w:rPr>
        <w:t>亚甲基双丙烯酰胺的混合体系。</w:t>
      </w:r>
    </w:p>
    <w:p w:rsidR="0022448D" w:rsidRDefault="00063D19">
      <w:pPr>
        <w:spacing w:line="360" w:lineRule="auto"/>
        <w:ind w:firstLineChars="200" w:firstLine="480"/>
        <w:rPr>
          <w:rFonts w:cs="Times New Roman"/>
          <w:sz w:val="24"/>
        </w:rPr>
      </w:pPr>
      <w:r>
        <w:rPr>
          <w:rFonts w:cs="Times New Roman"/>
          <w:sz w:val="24"/>
        </w:rPr>
        <w:t>(1)</w:t>
      </w:r>
      <w:r>
        <w:rPr>
          <w:rFonts w:cs="Times New Roman"/>
          <w:sz w:val="24"/>
        </w:rPr>
        <w:t>油</w:t>
      </w:r>
      <w:r>
        <w:rPr>
          <w:rFonts w:cs="Times New Roman" w:hint="eastAsia"/>
          <w:sz w:val="24"/>
        </w:rPr>
        <w:t>、</w:t>
      </w:r>
      <w:r>
        <w:rPr>
          <w:rFonts w:cs="Times New Roman"/>
          <w:sz w:val="24"/>
        </w:rPr>
        <w:t>水相</w:t>
      </w:r>
      <w:r>
        <w:rPr>
          <w:rFonts w:cs="Times New Roman" w:hint="eastAsia"/>
          <w:sz w:val="24"/>
        </w:rPr>
        <w:t>溶液</w:t>
      </w:r>
      <w:r>
        <w:rPr>
          <w:rFonts w:cs="Times New Roman"/>
          <w:sz w:val="24"/>
        </w:rPr>
        <w:t>的配制</w:t>
      </w:r>
    </w:p>
    <w:p w:rsidR="0022448D" w:rsidRDefault="00063D19">
      <w:pPr>
        <w:spacing w:line="360" w:lineRule="auto"/>
        <w:ind w:firstLineChars="200" w:firstLine="480"/>
        <w:rPr>
          <w:rFonts w:cs="Times New Roman"/>
          <w:sz w:val="24"/>
        </w:rPr>
      </w:pPr>
      <w:r>
        <w:rPr>
          <w:rFonts w:cs="Times New Roman"/>
          <w:sz w:val="24"/>
        </w:rPr>
        <w:t>油相</w:t>
      </w:r>
      <w:r>
        <w:rPr>
          <w:rFonts w:cs="Times New Roman" w:hint="eastAsia"/>
          <w:sz w:val="24"/>
        </w:rPr>
        <w:t>溶液</w:t>
      </w:r>
      <w:r>
        <w:rPr>
          <w:rFonts w:cs="Times New Roman"/>
          <w:sz w:val="24"/>
        </w:rPr>
        <w:t>：量取白油</w:t>
      </w:r>
      <w:r>
        <w:rPr>
          <w:rFonts w:cs="Times New Roman"/>
          <w:sz w:val="24"/>
        </w:rPr>
        <w:t>60mL</w:t>
      </w:r>
      <w:r>
        <w:rPr>
          <w:rFonts w:cs="Times New Roman"/>
          <w:sz w:val="24"/>
        </w:rPr>
        <w:t>，油酸</w:t>
      </w:r>
      <w:r>
        <w:rPr>
          <w:rFonts w:cs="Times New Roman"/>
          <w:sz w:val="24"/>
        </w:rPr>
        <w:t>2g</w:t>
      </w:r>
      <w:r>
        <w:rPr>
          <w:rFonts w:cs="Times New Roman"/>
          <w:sz w:val="24"/>
        </w:rPr>
        <w:t>，超声搅拌混合均匀。</w:t>
      </w:r>
    </w:p>
    <w:p w:rsidR="0022448D" w:rsidRDefault="00063D19">
      <w:pPr>
        <w:spacing w:line="360" w:lineRule="auto"/>
        <w:ind w:firstLineChars="200" w:firstLine="480"/>
        <w:rPr>
          <w:rFonts w:cs="Times New Roman"/>
          <w:sz w:val="24"/>
        </w:rPr>
      </w:pPr>
      <w:r>
        <w:rPr>
          <w:rFonts w:cs="Times New Roman"/>
          <w:sz w:val="24"/>
        </w:rPr>
        <w:t>水相</w:t>
      </w:r>
      <w:r>
        <w:rPr>
          <w:rFonts w:cs="Times New Roman" w:hint="eastAsia"/>
          <w:sz w:val="24"/>
        </w:rPr>
        <w:t>溶液</w:t>
      </w:r>
      <w:r>
        <w:rPr>
          <w:rFonts w:cs="Times New Roman"/>
          <w:sz w:val="24"/>
        </w:rPr>
        <w:t>：量取</w:t>
      </w:r>
      <w:r>
        <w:rPr>
          <w:rFonts w:cs="Times New Roman" w:hint="eastAsia"/>
          <w:sz w:val="24"/>
        </w:rPr>
        <w:t>去离子水</w:t>
      </w:r>
      <w:r>
        <w:rPr>
          <w:rFonts w:cs="Times New Roman"/>
          <w:sz w:val="24"/>
        </w:rPr>
        <w:t>40mL</w:t>
      </w:r>
      <w:r>
        <w:rPr>
          <w:rFonts w:cs="Times New Roman"/>
          <w:sz w:val="24"/>
        </w:rPr>
        <w:t>，丙烯酰胺</w:t>
      </w:r>
      <w:r>
        <w:rPr>
          <w:rFonts w:cs="Times New Roman"/>
          <w:sz w:val="24"/>
        </w:rPr>
        <w:t>15g</w:t>
      </w:r>
      <w:r>
        <w:rPr>
          <w:rFonts w:cs="Times New Roman"/>
          <w:sz w:val="24"/>
        </w:rPr>
        <w:t>，乙烯基吡咯烷酮</w:t>
      </w:r>
      <w:r>
        <w:rPr>
          <w:rFonts w:cs="Times New Roman"/>
          <w:sz w:val="24"/>
        </w:rPr>
        <w:t>2g</w:t>
      </w:r>
      <w:r>
        <w:rPr>
          <w:rFonts w:cs="Times New Roman"/>
          <w:sz w:val="24"/>
        </w:rPr>
        <w:t>和</w:t>
      </w:r>
      <w:r>
        <w:rPr>
          <w:rFonts w:cs="Times New Roman"/>
          <w:sz w:val="24"/>
        </w:rPr>
        <w:t>N,N-</w:t>
      </w:r>
      <w:r>
        <w:rPr>
          <w:rFonts w:cs="Times New Roman"/>
          <w:sz w:val="24"/>
        </w:rPr>
        <w:t>亚甲基双丙烯酰胺</w:t>
      </w:r>
      <w:r>
        <w:rPr>
          <w:rFonts w:cs="Times New Roman"/>
          <w:sz w:val="24"/>
        </w:rPr>
        <w:t>0.</w:t>
      </w:r>
      <w:r>
        <w:rPr>
          <w:rFonts w:cs="Times New Roman" w:hint="eastAsia"/>
          <w:sz w:val="24"/>
        </w:rPr>
        <w:t>4</w:t>
      </w:r>
      <w:r>
        <w:rPr>
          <w:rFonts w:cs="Times New Roman"/>
          <w:sz w:val="24"/>
        </w:rPr>
        <w:t>g</w:t>
      </w:r>
      <w:r>
        <w:rPr>
          <w:rFonts w:cs="Times New Roman"/>
          <w:sz w:val="24"/>
        </w:rPr>
        <w:t>，烷基醇酰胺</w:t>
      </w:r>
      <w:r>
        <w:rPr>
          <w:rFonts w:cs="Times New Roman" w:hint="eastAsia"/>
          <w:sz w:val="24"/>
        </w:rPr>
        <w:t>8g</w:t>
      </w:r>
      <w:r>
        <w:rPr>
          <w:rFonts w:cs="Times New Roman" w:hint="eastAsia"/>
          <w:sz w:val="24"/>
        </w:rPr>
        <w:t>，</w:t>
      </w:r>
      <w:r>
        <w:rPr>
          <w:rFonts w:cs="Times New Roman"/>
          <w:sz w:val="24"/>
        </w:rPr>
        <w:t>超声搅拌至完全溶解。</w:t>
      </w:r>
    </w:p>
    <w:p w:rsidR="0022448D" w:rsidRDefault="00063D19">
      <w:pPr>
        <w:spacing w:line="360" w:lineRule="auto"/>
        <w:ind w:firstLineChars="200" w:firstLine="480"/>
        <w:rPr>
          <w:rFonts w:cs="Times New Roman"/>
          <w:sz w:val="24"/>
        </w:rPr>
      </w:pPr>
      <w:r>
        <w:rPr>
          <w:rFonts w:cs="Times New Roman"/>
          <w:sz w:val="24"/>
        </w:rPr>
        <w:t>(2)</w:t>
      </w:r>
      <w:r>
        <w:rPr>
          <w:rFonts w:cs="Times New Roman"/>
          <w:sz w:val="24"/>
        </w:rPr>
        <w:t>反相微乳液的制备</w:t>
      </w:r>
    </w:p>
    <w:p w:rsidR="0022448D" w:rsidRDefault="00063D19">
      <w:pPr>
        <w:spacing w:line="360" w:lineRule="auto"/>
        <w:ind w:firstLineChars="200" w:firstLine="480"/>
        <w:rPr>
          <w:rFonts w:cs="Times New Roman"/>
          <w:sz w:val="24"/>
        </w:rPr>
      </w:pPr>
      <w:r>
        <w:rPr>
          <w:rFonts w:cs="Times New Roman" w:hint="eastAsia"/>
          <w:sz w:val="24"/>
        </w:rPr>
        <w:t>a</w:t>
      </w:r>
      <w:r>
        <w:rPr>
          <w:rFonts w:cs="Times New Roman" w:hint="eastAsia"/>
          <w:sz w:val="24"/>
        </w:rPr>
        <w:t>、</w:t>
      </w:r>
      <w:r>
        <w:rPr>
          <w:rFonts w:cs="Times New Roman"/>
          <w:sz w:val="24"/>
        </w:rPr>
        <w:t>将油相</w:t>
      </w:r>
      <w:r>
        <w:rPr>
          <w:rFonts w:cs="Times New Roman" w:hint="eastAsia"/>
          <w:sz w:val="24"/>
        </w:rPr>
        <w:t>溶液</w:t>
      </w:r>
      <w:r>
        <w:rPr>
          <w:rFonts w:cs="Times New Roman"/>
          <w:sz w:val="24"/>
        </w:rPr>
        <w:t>加入三口烧瓶中，在</w:t>
      </w:r>
      <w:r>
        <w:rPr>
          <w:rFonts w:cs="Times New Roman"/>
          <w:sz w:val="24"/>
        </w:rPr>
        <w:t>900r/min</w:t>
      </w:r>
      <w:r>
        <w:rPr>
          <w:rFonts w:cs="Times New Roman"/>
          <w:sz w:val="24"/>
        </w:rPr>
        <w:t>的搅拌速度下将水相</w:t>
      </w:r>
      <w:r>
        <w:rPr>
          <w:rFonts w:cs="Times New Roman" w:hint="eastAsia"/>
          <w:sz w:val="24"/>
        </w:rPr>
        <w:t>溶液</w:t>
      </w:r>
      <w:r>
        <w:rPr>
          <w:rFonts w:cs="Times New Roman"/>
          <w:sz w:val="24"/>
        </w:rPr>
        <w:t>缓慢加入油相</w:t>
      </w:r>
      <w:r>
        <w:rPr>
          <w:rFonts w:cs="Times New Roman" w:hint="eastAsia"/>
          <w:sz w:val="24"/>
        </w:rPr>
        <w:t>溶液</w:t>
      </w:r>
      <w:r>
        <w:rPr>
          <w:rFonts w:cs="Times New Roman"/>
          <w:sz w:val="24"/>
        </w:rPr>
        <w:t>中，滴加的时间控制在</w:t>
      </w:r>
      <w:r>
        <w:rPr>
          <w:rFonts w:cs="Times New Roman"/>
          <w:sz w:val="24"/>
        </w:rPr>
        <w:t>30min</w:t>
      </w:r>
      <w:r>
        <w:rPr>
          <w:rFonts w:cs="Times New Roman"/>
          <w:sz w:val="24"/>
        </w:rPr>
        <w:t>，滴加完毕后连接氮气源再搅拌</w:t>
      </w:r>
      <w:r>
        <w:rPr>
          <w:rFonts w:cs="Times New Roman"/>
          <w:sz w:val="24"/>
        </w:rPr>
        <w:t>30min</w:t>
      </w:r>
      <w:r>
        <w:rPr>
          <w:rFonts w:cs="Times New Roman"/>
          <w:sz w:val="24"/>
        </w:rPr>
        <w:t>；</w:t>
      </w:r>
    </w:p>
    <w:p w:rsidR="0022448D" w:rsidRDefault="00063D19">
      <w:pPr>
        <w:spacing w:line="360" w:lineRule="auto"/>
        <w:ind w:firstLineChars="200" w:firstLine="480"/>
        <w:rPr>
          <w:rFonts w:cs="Times New Roman"/>
          <w:color w:val="FF0000"/>
          <w:sz w:val="24"/>
        </w:rPr>
      </w:pPr>
      <w:r>
        <w:rPr>
          <w:rFonts w:cs="Times New Roman" w:hint="eastAsia"/>
          <w:sz w:val="24"/>
        </w:rPr>
        <w:lastRenderedPageBreak/>
        <w:t>b</w:t>
      </w:r>
      <w:r>
        <w:rPr>
          <w:rFonts w:cs="Times New Roman" w:hint="eastAsia"/>
          <w:sz w:val="24"/>
        </w:rPr>
        <w:t>、</w:t>
      </w:r>
      <w:r>
        <w:rPr>
          <w:rFonts w:cs="Times New Roman"/>
          <w:sz w:val="24"/>
        </w:rPr>
        <w:t>降低搅拌速度至</w:t>
      </w:r>
      <w:r>
        <w:rPr>
          <w:rFonts w:cs="Times New Roman"/>
          <w:sz w:val="24"/>
        </w:rPr>
        <w:t>400r/min</w:t>
      </w:r>
      <w:r>
        <w:rPr>
          <w:rFonts w:cs="Times New Roman"/>
          <w:sz w:val="24"/>
        </w:rPr>
        <w:t>，缓慢加入</w:t>
      </w:r>
      <w:r>
        <w:rPr>
          <w:rFonts w:cs="Times New Roman"/>
          <w:sz w:val="24"/>
        </w:rPr>
        <w:t>1%</w:t>
      </w:r>
      <w:r>
        <w:rPr>
          <w:rFonts w:cs="Times New Roman"/>
          <w:sz w:val="24"/>
        </w:rPr>
        <w:t>的偶氮二异丁基脒盐酸盐溶液</w:t>
      </w:r>
      <w:r>
        <w:rPr>
          <w:rFonts w:cs="Times New Roman"/>
          <w:sz w:val="24"/>
        </w:rPr>
        <w:t>2 mL</w:t>
      </w:r>
      <w:r>
        <w:rPr>
          <w:rFonts w:cs="Times New Roman"/>
          <w:sz w:val="24"/>
        </w:rPr>
        <w:t>，完全加入后，将</w:t>
      </w:r>
      <w:r>
        <w:rPr>
          <w:rFonts w:cs="Times New Roman" w:hint="eastAsia"/>
          <w:sz w:val="24"/>
        </w:rPr>
        <w:t>体系温度</w:t>
      </w:r>
      <w:r>
        <w:rPr>
          <w:rFonts w:cs="Times New Roman"/>
          <w:sz w:val="24"/>
        </w:rPr>
        <w:t>升高至</w:t>
      </w:r>
      <w:r>
        <w:rPr>
          <w:rFonts w:cs="Times New Roman"/>
          <w:sz w:val="24"/>
        </w:rPr>
        <w:t>48</w:t>
      </w:r>
      <w:r>
        <w:rPr>
          <w:rFonts w:cs="Times New Roman" w:hint="eastAsia"/>
          <w:sz w:val="24"/>
        </w:rPr>
        <w:t>℃</w:t>
      </w:r>
      <w:r>
        <w:rPr>
          <w:rFonts w:cs="Times New Roman"/>
          <w:sz w:val="24"/>
        </w:rPr>
        <w:t>，持续反应</w:t>
      </w:r>
      <w:r>
        <w:rPr>
          <w:rFonts w:cs="Times New Roman"/>
          <w:sz w:val="24"/>
        </w:rPr>
        <w:t>3</w:t>
      </w:r>
      <w:r>
        <w:rPr>
          <w:rFonts w:cs="Times New Roman"/>
          <w:sz w:val="24"/>
        </w:rPr>
        <w:t>小时</w:t>
      </w:r>
      <w:r>
        <w:rPr>
          <w:rFonts w:cs="Times New Roman" w:hint="eastAsia"/>
          <w:sz w:val="24"/>
        </w:rPr>
        <w:t>，即得高温高盐非均质性油藏双重调驱体系</w:t>
      </w:r>
      <w:r>
        <w:rPr>
          <w:rFonts w:cs="Times New Roman"/>
          <w:sz w:val="24"/>
        </w:rPr>
        <w:t>。</w:t>
      </w:r>
    </w:p>
    <w:p w:rsidR="0022448D" w:rsidRDefault="00063D19">
      <w:pPr>
        <w:spacing w:line="360" w:lineRule="auto"/>
        <w:rPr>
          <w:rFonts w:cs="Times New Roman"/>
          <w:sz w:val="24"/>
        </w:rPr>
      </w:pPr>
      <w:r>
        <w:rPr>
          <w:rFonts w:cs="Times New Roman" w:hint="eastAsia"/>
          <w:sz w:val="24"/>
        </w:rPr>
        <w:t>（二）性能测试：</w:t>
      </w:r>
    </w:p>
    <w:p w:rsidR="0022448D" w:rsidRDefault="00063D19">
      <w:pPr>
        <w:spacing w:line="360" w:lineRule="auto"/>
        <w:ind w:firstLineChars="200" w:firstLine="480"/>
        <w:rPr>
          <w:rFonts w:cs="Times New Roman"/>
          <w:sz w:val="24"/>
        </w:rPr>
      </w:pPr>
      <w:r>
        <w:rPr>
          <w:rFonts w:cs="Times New Roman" w:hint="eastAsia"/>
          <w:sz w:val="24"/>
        </w:rPr>
        <w:t>1</w:t>
      </w:r>
      <w:r>
        <w:rPr>
          <w:rFonts w:cs="Times New Roman" w:hint="eastAsia"/>
          <w:sz w:val="24"/>
        </w:rPr>
        <w:t>、双重调控体系的降低界面张力的能力</w:t>
      </w:r>
    </w:p>
    <w:p w:rsidR="0022448D" w:rsidRDefault="00063D19">
      <w:pPr>
        <w:spacing w:line="360" w:lineRule="auto"/>
        <w:ind w:firstLineChars="200" w:firstLine="480"/>
        <w:rPr>
          <w:rFonts w:cs="Times New Roman"/>
          <w:sz w:val="24"/>
        </w:rPr>
      </w:pPr>
      <w:r>
        <w:rPr>
          <w:rFonts w:cs="Times New Roman" w:hint="eastAsia"/>
          <w:sz w:val="24"/>
        </w:rPr>
        <w:t>配制矿化度为</w:t>
      </w:r>
      <w:r>
        <w:rPr>
          <w:rFonts w:cs="Times New Roman" w:hint="eastAsia"/>
          <w:sz w:val="24"/>
        </w:rPr>
        <w:t>50000mg/L(Ca2+</w:t>
      </w:r>
      <w:r>
        <w:rPr>
          <w:rFonts w:cs="Times New Roman" w:hint="eastAsia"/>
          <w:sz w:val="24"/>
        </w:rPr>
        <w:t>、</w:t>
      </w:r>
      <w:r>
        <w:rPr>
          <w:rFonts w:cs="Times New Roman" w:hint="eastAsia"/>
          <w:sz w:val="24"/>
        </w:rPr>
        <w:t>Mg2+</w:t>
      </w:r>
      <w:r>
        <w:rPr>
          <w:rFonts w:cs="Times New Roman" w:hint="eastAsia"/>
          <w:sz w:val="24"/>
        </w:rPr>
        <w:t>浓度为</w:t>
      </w:r>
      <w:r>
        <w:rPr>
          <w:rFonts w:cs="Times New Roman" w:hint="eastAsia"/>
          <w:sz w:val="24"/>
        </w:rPr>
        <w:t>500mg/L)</w:t>
      </w:r>
      <w:r>
        <w:rPr>
          <w:rFonts w:cs="Times New Roman" w:hint="eastAsia"/>
          <w:sz w:val="24"/>
        </w:rPr>
        <w:t>及</w:t>
      </w:r>
      <w:r>
        <w:rPr>
          <w:rFonts w:cs="Times New Roman" w:hint="eastAsia"/>
          <w:sz w:val="24"/>
        </w:rPr>
        <w:t>100000mg/L(Ca2+</w:t>
      </w:r>
      <w:r>
        <w:rPr>
          <w:rFonts w:cs="Times New Roman" w:hint="eastAsia"/>
          <w:sz w:val="24"/>
        </w:rPr>
        <w:t>、</w:t>
      </w:r>
      <w:r>
        <w:rPr>
          <w:rFonts w:cs="Times New Roman" w:hint="eastAsia"/>
          <w:sz w:val="24"/>
        </w:rPr>
        <w:t>Mg2+</w:t>
      </w:r>
      <w:r>
        <w:rPr>
          <w:rFonts w:cs="Times New Roman" w:hint="eastAsia"/>
          <w:sz w:val="24"/>
        </w:rPr>
        <w:t>浓度为</w:t>
      </w:r>
      <w:r>
        <w:rPr>
          <w:rFonts w:cs="Times New Roman" w:hint="eastAsia"/>
          <w:sz w:val="24"/>
        </w:rPr>
        <w:t>1500mg/L)</w:t>
      </w:r>
      <w:r>
        <w:rPr>
          <w:rFonts w:cs="Times New Roman" w:hint="eastAsia"/>
          <w:sz w:val="24"/>
        </w:rPr>
        <w:t>的模拟地层水各</w:t>
      </w:r>
      <w:r>
        <w:rPr>
          <w:rFonts w:cs="Times New Roman" w:hint="eastAsia"/>
          <w:sz w:val="24"/>
        </w:rPr>
        <w:t>100mL</w:t>
      </w:r>
      <w:r>
        <w:rPr>
          <w:rFonts w:cs="Times New Roman" w:hint="eastAsia"/>
          <w:sz w:val="24"/>
        </w:rPr>
        <w:t>，随后加入</w:t>
      </w:r>
      <w:r>
        <w:rPr>
          <w:rFonts w:cs="Times New Roman" w:hint="eastAsia"/>
          <w:sz w:val="24"/>
        </w:rPr>
        <w:t>1g</w:t>
      </w:r>
      <w:r>
        <w:rPr>
          <w:rFonts w:cs="Times New Roman" w:hint="eastAsia"/>
          <w:sz w:val="24"/>
        </w:rPr>
        <w:t>上述体系，搅拌均匀，在</w:t>
      </w:r>
      <w:r>
        <w:rPr>
          <w:rFonts w:cs="Times New Roman" w:hint="eastAsia"/>
          <w:sz w:val="24"/>
        </w:rPr>
        <w:t>90</w:t>
      </w:r>
      <w:r>
        <w:rPr>
          <w:rFonts w:cs="Times New Roman" w:hint="eastAsia"/>
          <w:sz w:val="24"/>
        </w:rPr>
        <w:t>℃条件下利用</w:t>
      </w:r>
      <w:r>
        <w:rPr>
          <w:rFonts w:cs="Times New Roman" w:hint="eastAsia"/>
          <w:sz w:val="24"/>
        </w:rPr>
        <w:t>TX500C</w:t>
      </w:r>
      <w:r>
        <w:rPr>
          <w:rFonts w:cs="Times New Roman" w:hint="eastAsia"/>
          <w:sz w:val="24"/>
        </w:rPr>
        <w:t>旋转界面张力仪测试双重调控体系与不同原油间的稳定界面张力值</w:t>
      </w:r>
      <w:r>
        <w:rPr>
          <w:rFonts w:cs="Times New Roman" w:hint="eastAsia"/>
          <w:sz w:val="24"/>
        </w:rPr>
        <w:t>。实验结果如表</w:t>
      </w:r>
      <w:r>
        <w:rPr>
          <w:rFonts w:cs="Times New Roman" w:hint="eastAsia"/>
          <w:sz w:val="24"/>
        </w:rPr>
        <w:t>1</w:t>
      </w:r>
      <w:r>
        <w:rPr>
          <w:rFonts w:cs="Times New Roman" w:hint="eastAsia"/>
          <w:sz w:val="24"/>
        </w:rPr>
        <w:t>所示，双重调控体系能够将油水界面张力值降低至</w:t>
      </w:r>
      <w:r>
        <w:rPr>
          <w:rFonts w:ascii="Arial" w:hAnsi="Arial" w:cs="Arial"/>
          <w:sz w:val="24"/>
        </w:rPr>
        <w:t>10</w:t>
      </w:r>
      <w:r>
        <w:rPr>
          <w:rFonts w:ascii="Arial" w:hAnsi="Arial" w:cs="Arial"/>
          <w:sz w:val="24"/>
          <w:vertAlign w:val="superscript"/>
        </w:rPr>
        <w:t>-2</w:t>
      </w:r>
      <w:r>
        <w:rPr>
          <w:rFonts w:ascii="Arial" w:hAnsi="Arial" w:cs="Arial" w:hint="eastAsia"/>
          <w:sz w:val="24"/>
        </w:rPr>
        <w:t>～</w:t>
      </w:r>
      <w:r>
        <w:rPr>
          <w:rFonts w:ascii="Arial" w:hAnsi="Arial" w:cs="Arial"/>
          <w:sz w:val="24"/>
        </w:rPr>
        <w:t>10</w:t>
      </w:r>
      <w:r>
        <w:rPr>
          <w:rFonts w:ascii="Arial" w:hAnsi="Arial" w:cs="Arial"/>
          <w:sz w:val="24"/>
          <w:vertAlign w:val="superscript"/>
        </w:rPr>
        <w:t>-3</w:t>
      </w:r>
      <w:r>
        <w:rPr>
          <w:rFonts w:ascii="Arial" w:hAnsi="Arial" w:cs="Arial"/>
          <w:sz w:val="24"/>
        </w:rPr>
        <w:t>mN/m</w:t>
      </w:r>
      <w:r>
        <w:rPr>
          <w:rFonts w:cs="Times New Roman" w:hint="eastAsia"/>
          <w:sz w:val="24"/>
        </w:rPr>
        <w:t>，</w:t>
      </w:r>
      <w:r>
        <w:rPr>
          <w:rFonts w:ascii="Arial" w:hAnsi="Arial" w:cs="Arial" w:hint="eastAsia"/>
          <w:sz w:val="24"/>
        </w:rPr>
        <w:t>本发明</w:t>
      </w:r>
      <w:r>
        <w:rPr>
          <w:rFonts w:cs="Times New Roman" w:hint="eastAsia"/>
          <w:sz w:val="24"/>
        </w:rPr>
        <w:t>表现出良好的洗油性能。</w:t>
      </w:r>
    </w:p>
    <w:p w:rsidR="0022448D" w:rsidRDefault="00063D19">
      <w:pPr>
        <w:spacing w:line="360" w:lineRule="auto"/>
        <w:ind w:firstLineChars="200" w:firstLine="480"/>
        <w:jc w:val="center"/>
        <w:rPr>
          <w:rFonts w:cs="Times New Roman"/>
          <w:sz w:val="24"/>
        </w:rPr>
      </w:pPr>
      <w:r>
        <w:rPr>
          <w:rFonts w:cs="Times New Roman" w:hint="eastAsia"/>
          <w:sz w:val="24"/>
        </w:rPr>
        <w:t>表</w:t>
      </w:r>
      <w:r>
        <w:rPr>
          <w:rFonts w:cs="Times New Roman" w:hint="eastAsia"/>
          <w:sz w:val="24"/>
        </w:rPr>
        <w:t xml:space="preserve">1 </w:t>
      </w:r>
      <w:r>
        <w:rPr>
          <w:rFonts w:cs="Times New Roman" w:hint="eastAsia"/>
          <w:sz w:val="24"/>
        </w:rPr>
        <w:t>双重调控体系降低界面张力的能力</w:t>
      </w:r>
    </w:p>
    <w:tbl>
      <w:tblPr>
        <w:tblStyle w:val="a7"/>
        <w:tblW w:w="7452" w:type="dxa"/>
        <w:jc w:val="center"/>
        <w:tblInd w:w="1070" w:type="dxa"/>
        <w:tblLayout w:type="fixed"/>
        <w:tblLook w:val="04A0" w:firstRow="1" w:lastRow="0" w:firstColumn="1" w:lastColumn="0" w:noHBand="0" w:noVBand="1"/>
      </w:tblPr>
      <w:tblGrid>
        <w:gridCol w:w="2100"/>
        <w:gridCol w:w="2511"/>
        <w:gridCol w:w="2841"/>
      </w:tblGrid>
      <w:tr w:rsidR="0022448D">
        <w:trPr>
          <w:jc w:val="center"/>
        </w:trPr>
        <w:tc>
          <w:tcPr>
            <w:tcW w:w="2100" w:type="dxa"/>
            <w:vAlign w:val="center"/>
          </w:tcPr>
          <w:p w:rsidR="0022448D" w:rsidRDefault="00063D19">
            <w:pPr>
              <w:spacing w:line="360" w:lineRule="auto"/>
              <w:ind w:firstLineChars="200" w:firstLine="480"/>
              <w:rPr>
                <w:rFonts w:cs="Times New Roman"/>
                <w:sz w:val="24"/>
              </w:rPr>
            </w:pPr>
            <w:r>
              <w:rPr>
                <w:rFonts w:cs="Times New Roman" w:hint="eastAsia"/>
                <w:sz w:val="24"/>
              </w:rPr>
              <w:t>矿化度</w:t>
            </w:r>
            <w:r>
              <w:rPr>
                <w:rFonts w:cs="Times New Roman" w:hint="eastAsia"/>
                <w:sz w:val="24"/>
              </w:rPr>
              <w:t>(mg/L)</w:t>
            </w:r>
          </w:p>
        </w:tc>
        <w:tc>
          <w:tcPr>
            <w:tcW w:w="2511" w:type="dxa"/>
            <w:vAlign w:val="center"/>
          </w:tcPr>
          <w:p w:rsidR="0022448D" w:rsidRDefault="00063D19">
            <w:pPr>
              <w:spacing w:line="360" w:lineRule="auto"/>
              <w:ind w:firstLineChars="200" w:firstLine="480"/>
              <w:rPr>
                <w:rFonts w:cs="Times New Roman"/>
                <w:sz w:val="24"/>
              </w:rPr>
            </w:pPr>
            <w:r>
              <w:rPr>
                <w:rFonts w:cs="Times New Roman" w:hint="eastAsia"/>
                <w:sz w:val="24"/>
              </w:rPr>
              <w:t>原油黏度</w:t>
            </w:r>
            <w:r>
              <w:rPr>
                <w:rFonts w:cs="Times New Roman" w:hint="eastAsia"/>
                <w:sz w:val="24"/>
              </w:rPr>
              <w:t>(</w:t>
            </w:r>
            <w:proofErr w:type="spellStart"/>
            <w:r>
              <w:rPr>
                <w:rFonts w:cs="Times New Roman" w:hint="eastAsia"/>
                <w:sz w:val="24"/>
              </w:rPr>
              <w:t>mPa</w:t>
            </w:r>
            <w:proofErr w:type="spellEnd"/>
            <w:r>
              <w:rPr>
                <w:rFonts w:cs="Times New Roman" w:hint="eastAsia"/>
                <w:sz w:val="24"/>
              </w:rPr>
              <w:t>·</w:t>
            </w:r>
            <w:r>
              <w:rPr>
                <w:rFonts w:cs="Times New Roman" w:hint="eastAsia"/>
                <w:sz w:val="24"/>
              </w:rPr>
              <w:t>s)</w:t>
            </w:r>
          </w:p>
        </w:tc>
        <w:tc>
          <w:tcPr>
            <w:tcW w:w="2841" w:type="dxa"/>
            <w:vAlign w:val="center"/>
          </w:tcPr>
          <w:p w:rsidR="0022448D" w:rsidRDefault="00063D19">
            <w:pPr>
              <w:spacing w:line="360" w:lineRule="auto"/>
              <w:ind w:firstLineChars="200" w:firstLine="480"/>
              <w:rPr>
                <w:rFonts w:cs="Times New Roman"/>
                <w:sz w:val="24"/>
              </w:rPr>
            </w:pPr>
            <w:r>
              <w:rPr>
                <w:rFonts w:cs="Times New Roman" w:hint="eastAsia"/>
                <w:sz w:val="24"/>
              </w:rPr>
              <w:t>界面张力</w:t>
            </w:r>
            <w:r>
              <w:rPr>
                <w:rFonts w:cs="Times New Roman" w:hint="eastAsia"/>
                <w:sz w:val="24"/>
              </w:rPr>
              <w:t>(</w:t>
            </w:r>
            <w:proofErr w:type="spellStart"/>
            <w:r>
              <w:rPr>
                <w:rFonts w:cs="Times New Roman" w:hint="eastAsia"/>
                <w:sz w:val="24"/>
              </w:rPr>
              <w:t>mN</w:t>
            </w:r>
            <w:proofErr w:type="spellEnd"/>
            <w:r>
              <w:rPr>
                <w:rFonts w:cs="Times New Roman" w:hint="eastAsia"/>
                <w:sz w:val="24"/>
              </w:rPr>
              <w:t>/m)</w:t>
            </w:r>
          </w:p>
        </w:tc>
      </w:tr>
      <w:tr w:rsidR="0022448D">
        <w:trPr>
          <w:jc w:val="center"/>
        </w:trPr>
        <w:tc>
          <w:tcPr>
            <w:tcW w:w="2100" w:type="dxa"/>
            <w:vMerge w:val="restart"/>
            <w:vAlign w:val="center"/>
          </w:tcPr>
          <w:p w:rsidR="0022448D" w:rsidRDefault="00063D19">
            <w:pPr>
              <w:spacing w:line="360" w:lineRule="auto"/>
              <w:ind w:firstLineChars="200" w:firstLine="480"/>
              <w:rPr>
                <w:rFonts w:cs="Times New Roman"/>
                <w:sz w:val="24"/>
              </w:rPr>
            </w:pPr>
            <w:r>
              <w:rPr>
                <w:rFonts w:cs="Times New Roman" w:hint="eastAsia"/>
                <w:sz w:val="24"/>
              </w:rPr>
              <w:t>50000</w:t>
            </w:r>
          </w:p>
        </w:tc>
        <w:tc>
          <w:tcPr>
            <w:tcW w:w="2511" w:type="dxa"/>
            <w:vAlign w:val="center"/>
          </w:tcPr>
          <w:p w:rsidR="0022448D" w:rsidRDefault="00063D19">
            <w:pPr>
              <w:spacing w:line="360" w:lineRule="auto"/>
              <w:ind w:firstLineChars="200" w:firstLine="480"/>
              <w:rPr>
                <w:rFonts w:cs="Times New Roman"/>
                <w:sz w:val="24"/>
              </w:rPr>
            </w:pPr>
            <w:r>
              <w:rPr>
                <w:rFonts w:cs="Times New Roman" w:hint="eastAsia"/>
                <w:sz w:val="24"/>
              </w:rPr>
              <w:t>9.8</w:t>
            </w:r>
          </w:p>
        </w:tc>
        <w:tc>
          <w:tcPr>
            <w:tcW w:w="2841" w:type="dxa"/>
            <w:vAlign w:val="center"/>
          </w:tcPr>
          <w:p w:rsidR="0022448D" w:rsidRDefault="00063D19">
            <w:pPr>
              <w:spacing w:line="360" w:lineRule="auto"/>
              <w:ind w:firstLineChars="200" w:firstLine="480"/>
              <w:rPr>
                <w:rFonts w:cs="Times New Roman"/>
                <w:sz w:val="24"/>
              </w:rPr>
            </w:pPr>
            <w:r>
              <w:rPr>
                <w:rFonts w:cs="Times New Roman" w:hint="eastAsia"/>
                <w:sz w:val="24"/>
              </w:rPr>
              <w:t>0.054</w:t>
            </w:r>
          </w:p>
        </w:tc>
      </w:tr>
      <w:tr w:rsidR="0022448D">
        <w:trPr>
          <w:jc w:val="center"/>
        </w:trPr>
        <w:tc>
          <w:tcPr>
            <w:tcW w:w="2100" w:type="dxa"/>
            <w:vMerge/>
            <w:vAlign w:val="center"/>
          </w:tcPr>
          <w:p w:rsidR="0022448D" w:rsidRDefault="0022448D">
            <w:pPr>
              <w:spacing w:line="360" w:lineRule="auto"/>
              <w:ind w:firstLineChars="200" w:firstLine="480"/>
              <w:rPr>
                <w:rFonts w:cs="Times New Roman"/>
                <w:sz w:val="24"/>
              </w:rPr>
            </w:pPr>
          </w:p>
        </w:tc>
        <w:tc>
          <w:tcPr>
            <w:tcW w:w="2511" w:type="dxa"/>
            <w:vAlign w:val="center"/>
          </w:tcPr>
          <w:p w:rsidR="0022448D" w:rsidRDefault="00063D19">
            <w:pPr>
              <w:spacing w:line="360" w:lineRule="auto"/>
              <w:ind w:firstLineChars="200" w:firstLine="480"/>
              <w:rPr>
                <w:rFonts w:cs="Times New Roman"/>
                <w:sz w:val="24"/>
              </w:rPr>
            </w:pPr>
            <w:r>
              <w:rPr>
                <w:rFonts w:cs="Times New Roman" w:hint="eastAsia"/>
                <w:sz w:val="24"/>
              </w:rPr>
              <w:t>20.5</w:t>
            </w:r>
          </w:p>
        </w:tc>
        <w:tc>
          <w:tcPr>
            <w:tcW w:w="2841" w:type="dxa"/>
            <w:vAlign w:val="center"/>
          </w:tcPr>
          <w:p w:rsidR="0022448D" w:rsidRDefault="00063D19">
            <w:pPr>
              <w:spacing w:line="360" w:lineRule="auto"/>
              <w:ind w:firstLineChars="200" w:firstLine="480"/>
              <w:rPr>
                <w:rFonts w:cs="Times New Roman"/>
                <w:sz w:val="24"/>
              </w:rPr>
            </w:pPr>
            <w:r>
              <w:rPr>
                <w:rFonts w:cs="Times New Roman" w:hint="eastAsia"/>
                <w:sz w:val="24"/>
              </w:rPr>
              <w:t>0.0062</w:t>
            </w:r>
          </w:p>
        </w:tc>
      </w:tr>
      <w:tr w:rsidR="0022448D">
        <w:trPr>
          <w:jc w:val="center"/>
        </w:trPr>
        <w:tc>
          <w:tcPr>
            <w:tcW w:w="2100" w:type="dxa"/>
            <w:vMerge w:val="restart"/>
            <w:vAlign w:val="center"/>
          </w:tcPr>
          <w:p w:rsidR="0022448D" w:rsidRDefault="00063D19">
            <w:pPr>
              <w:spacing w:line="360" w:lineRule="auto"/>
              <w:ind w:firstLineChars="200" w:firstLine="480"/>
              <w:rPr>
                <w:rFonts w:cs="Times New Roman"/>
                <w:sz w:val="24"/>
              </w:rPr>
            </w:pPr>
            <w:r>
              <w:rPr>
                <w:rFonts w:cs="Times New Roman" w:hint="eastAsia"/>
                <w:sz w:val="24"/>
              </w:rPr>
              <w:t>100000</w:t>
            </w:r>
          </w:p>
        </w:tc>
        <w:tc>
          <w:tcPr>
            <w:tcW w:w="2511" w:type="dxa"/>
            <w:vAlign w:val="center"/>
          </w:tcPr>
          <w:p w:rsidR="0022448D" w:rsidRDefault="00063D19">
            <w:pPr>
              <w:spacing w:line="360" w:lineRule="auto"/>
              <w:ind w:firstLineChars="200" w:firstLine="480"/>
              <w:rPr>
                <w:rFonts w:cs="Times New Roman"/>
                <w:sz w:val="24"/>
              </w:rPr>
            </w:pPr>
            <w:r>
              <w:rPr>
                <w:rFonts w:cs="Times New Roman" w:hint="eastAsia"/>
                <w:sz w:val="24"/>
              </w:rPr>
              <w:t>9.8</w:t>
            </w:r>
          </w:p>
        </w:tc>
        <w:tc>
          <w:tcPr>
            <w:tcW w:w="2841" w:type="dxa"/>
            <w:vAlign w:val="center"/>
          </w:tcPr>
          <w:p w:rsidR="0022448D" w:rsidRDefault="00063D19">
            <w:pPr>
              <w:spacing w:line="360" w:lineRule="auto"/>
              <w:ind w:firstLineChars="200" w:firstLine="480"/>
              <w:rPr>
                <w:rFonts w:cs="Times New Roman"/>
                <w:sz w:val="24"/>
              </w:rPr>
            </w:pPr>
            <w:r>
              <w:rPr>
                <w:rFonts w:cs="Times New Roman" w:hint="eastAsia"/>
                <w:sz w:val="24"/>
              </w:rPr>
              <w:t>0.038</w:t>
            </w:r>
          </w:p>
        </w:tc>
      </w:tr>
      <w:tr w:rsidR="0022448D">
        <w:trPr>
          <w:jc w:val="center"/>
        </w:trPr>
        <w:tc>
          <w:tcPr>
            <w:tcW w:w="2100" w:type="dxa"/>
            <w:vMerge/>
            <w:vAlign w:val="center"/>
          </w:tcPr>
          <w:p w:rsidR="0022448D" w:rsidRDefault="0022448D">
            <w:pPr>
              <w:spacing w:line="360" w:lineRule="auto"/>
              <w:ind w:firstLineChars="200" w:firstLine="480"/>
              <w:rPr>
                <w:rFonts w:cs="Times New Roman"/>
                <w:sz w:val="24"/>
              </w:rPr>
            </w:pPr>
          </w:p>
        </w:tc>
        <w:tc>
          <w:tcPr>
            <w:tcW w:w="2511" w:type="dxa"/>
            <w:vAlign w:val="center"/>
          </w:tcPr>
          <w:p w:rsidR="0022448D" w:rsidRDefault="00063D19">
            <w:pPr>
              <w:spacing w:line="360" w:lineRule="auto"/>
              <w:ind w:firstLineChars="200" w:firstLine="480"/>
              <w:rPr>
                <w:rFonts w:cs="Times New Roman"/>
                <w:sz w:val="24"/>
              </w:rPr>
            </w:pPr>
            <w:r>
              <w:rPr>
                <w:rFonts w:cs="Times New Roman" w:hint="eastAsia"/>
                <w:sz w:val="24"/>
              </w:rPr>
              <w:t>20.5</w:t>
            </w:r>
          </w:p>
        </w:tc>
        <w:tc>
          <w:tcPr>
            <w:tcW w:w="2841" w:type="dxa"/>
            <w:vAlign w:val="center"/>
          </w:tcPr>
          <w:p w:rsidR="0022448D" w:rsidRDefault="00063D19">
            <w:pPr>
              <w:spacing w:line="360" w:lineRule="auto"/>
              <w:ind w:firstLineChars="200" w:firstLine="480"/>
              <w:rPr>
                <w:rFonts w:cs="Times New Roman"/>
                <w:sz w:val="24"/>
              </w:rPr>
            </w:pPr>
            <w:r>
              <w:rPr>
                <w:rFonts w:cs="Times New Roman" w:hint="eastAsia"/>
                <w:sz w:val="24"/>
              </w:rPr>
              <w:t>0.0048</w:t>
            </w:r>
          </w:p>
        </w:tc>
      </w:tr>
    </w:tbl>
    <w:p w:rsidR="0022448D" w:rsidRDefault="00063D19">
      <w:pPr>
        <w:spacing w:line="360" w:lineRule="auto"/>
        <w:ind w:firstLineChars="200" w:firstLine="480"/>
        <w:rPr>
          <w:rFonts w:cs="Times New Roman"/>
          <w:sz w:val="24"/>
        </w:rPr>
      </w:pPr>
      <w:r>
        <w:rPr>
          <w:rFonts w:cs="Times New Roman" w:hint="eastAsia"/>
          <w:sz w:val="24"/>
        </w:rPr>
        <w:t>2</w:t>
      </w:r>
      <w:r>
        <w:rPr>
          <w:rFonts w:cs="Times New Roman" w:hint="eastAsia"/>
          <w:sz w:val="24"/>
        </w:rPr>
        <w:t>、双重调控体系的乳化能力</w:t>
      </w:r>
    </w:p>
    <w:p w:rsidR="0022448D" w:rsidRDefault="00063D19">
      <w:pPr>
        <w:spacing w:line="360" w:lineRule="auto"/>
        <w:ind w:firstLineChars="200" w:firstLine="480"/>
        <w:rPr>
          <w:rFonts w:cs="Times New Roman"/>
          <w:sz w:val="24"/>
        </w:rPr>
      </w:pPr>
      <w:r>
        <w:rPr>
          <w:rFonts w:cs="Times New Roman" w:hint="eastAsia"/>
          <w:sz w:val="24"/>
        </w:rPr>
        <w:t>配制矿化度为</w:t>
      </w:r>
      <w:r>
        <w:rPr>
          <w:rFonts w:cs="Times New Roman" w:hint="eastAsia"/>
          <w:sz w:val="24"/>
        </w:rPr>
        <w:t>50000mg/L(Ca2+</w:t>
      </w:r>
      <w:r>
        <w:rPr>
          <w:rFonts w:cs="Times New Roman" w:hint="eastAsia"/>
          <w:sz w:val="24"/>
        </w:rPr>
        <w:t>、</w:t>
      </w:r>
      <w:r>
        <w:rPr>
          <w:rFonts w:cs="Times New Roman" w:hint="eastAsia"/>
          <w:sz w:val="24"/>
        </w:rPr>
        <w:t>Mg2+</w:t>
      </w:r>
      <w:r>
        <w:rPr>
          <w:rFonts w:cs="Times New Roman" w:hint="eastAsia"/>
          <w:sz w:val="24"/>
        </w:rPr>
        <w:t>浓度为</w:t>
      </w:r>
      <w:r>
        <w:rPr>
          <w:rFonts w:cs="Times New Roman" w:hint="eastAsia"/>
          <w:sz w:val="24"/>
        </w:rPr>
        <w:t>500mg/L)</w:t>
      </w:r>
      <w:r>
        <w:rPr>
          <w:rFonts w:cs="Times New Roman" w:hint="eastAsia"/>
          <w:sz w:val="24"/>
        </w:rPr>
        <w:t>及</w:t>
      </w:r>
      <w:r>
        <w:rPr>
          <w:rFonts w:cs="Times New Roman" w:hint="eastAsia"/>
          <w:sz w:val="24"/>
        </w:rPr>
        <w:t>100000mg/L(Ca2+</w:t>
      </w:r>
      <w:r>
        <w:rPr>
          <w:rFonts w:cs="Times New Roman" w:hint="eastAsia"/>
          <w:sz w:val="24"/>
        </w:rPr>
        <w:t>、</w:t>
      </w:r>
      <w:r>
        <w:rPr>
          <w:rFonts w:cs="Times New Roman" w:hint="eastAsia"/>
          <w:sz w:val="24"/>
        </w:rPr>
        <w:t>Mg2+</w:t>
      </w:r>
      <w:r>
        <w:rPr>
          <w:rFonts w:cs="Times New Roman" w:hint="eastAsia"/>
          <w:sz w:val="24"/>
        </w:rPr>
        <w:t>浓度为</w:t>
      </w:r>
      <w:r>
        <w:rPr>
          <w:rFonts w:cs="Times New Roman" w:hint="eastAsia"/>
          <w:sz w:val="24"/>
        </w:rPr>
        <w:t>1500mg/L)</w:t>
      </w:r>
      <w:r>
        <w:rPr>
          <w:rFonts w:cs="Times New Roman" w:hint="eastAsia"/>
          <w:sz w:val="24"/>
        </w:rPr>
        <w:t>的模拟地层水各</w:t>
      </w:r>
      <w:r>
        <w:rPr>
          <w:rFonts w:cs="Times New Roman" w:hint="eastAsia"/>
          <w:sz w:val="24"/>
        </w:rPr>
        <w:t>100mL</w:t>
      </w:r>
      <w:r>
        <w:rPr>
          <w:rFonts w:cs="Times New Roman" w:hint="eastAsia"/>
          <w:sz w:val="24"/>
        </w:rPr>
        <w:t>，随后加入</w:t>
      </w:r>
      <w:r>
        <w:rPr>
          <w:rFonts w:cs="Times New Roman" w:hint="eastAsia"/>
          <w:sz w:val="24"/>
        </w:rPr>
        <w:t>1g</w:t>
      </w:r>
      <w:r>
        <w:rPr>
          <w:rFonts w:cs="Times New Roman" w:hint="eastAsia"/>
          <w:sz w:val="24"/>
        </w:rPr>
        <w:t>上述体系，搅拌均匀，按照不同比例与原油混合，放入带磁力搅拌器的三口烧瓶中，在温度为</w:t>
      </w:r>
      <w:r>
        <w:rPr>
          <w:rFonts w:cs="Times New Roman" w:hint="eastAsia"/>
          <w:sz w:val="24"/>
        </w:rPr>
        <w:t>90</w:t>
      </w:r>
      <w:r>
        <w:rPr>
          <w:rFonts w:cs="Times New Roman" w:hint="eastAsia"/>
          <w:sz w:val="24"/>
        </w:rPr>
        <w:t>℃，搅拌速率为</w:t>
      </w:r>
      <w:r>
        <w:rPr>
          <w:rFonts w:cs="Times New Roman" w:hint="eastAsia"/>
          <w:sz w:val="24"/>
        </w:rPr>
        <w:t>400r/min</w:t>
      </w:r>
      <w:r>
        <w:rPr>
          <w:rFonts w:cs="Times New Roman" w:hint="eastAsia"/>
          <w:sz w:val="24"/>
        </w:rPr>
        <w:t>的速度下搅拌</w:t>
      </w:r>
      <w:r>
        <w:rPr>
          <w:rFonts w:cs="Times New Roman" w:hint="eastAsia"/>
          <w:sz w:val="24"/>
        </w:rPr>
        <w:t>1h</w:t>
      </w:r>
      <w:r>
        <w:rPr>
          <w:rFonts w:cs="Times New Roman" w:hint="eastAsia"/>
          <w:sz w:val="24"/>
        </w:rPr>
        <w:t>，搅拌结束后测定乳液类型，利用高温高压安东帕流变仪测试乳状液的黏度。实验结果如表</w:t>
      </w:r>
      <w:r>
        <w:rPr>
          <w:rFonts w:cs="Times New Roman" w:hint="eastAsia"/>
          <w:sz w:val="24"/>
        </w:rPr>
        <w:t>2</w:t>
      </w:r>
      <w:r>
        <w:rPr>
          <w:rFonts w:cs="Times New Roman" w:hint="eastAsia"/>
          <w:sz w:val="24"/>
        </w:rPr>
        <w:t>所示：含水率小于或等于</w:t>
      </w:r>
      <w:r>
        <w:rPr>
          <w:rFonts w:cs="Times New Roman" w:hint="eastAsia"/>
          <w:sz w:val="24"/>
        </w:rPr>
        <w:t>90%</w:t>
      </w:r>
      <w:r>
        <w:rPr>
          <w:rFonts w:cs="Times New Roman" w:hint="eastAsia"/>
          <w:sz w:val="24"/>
        </w:rPr>
        <w:t>时，油水乳化形成油包水型乳状液，且其黏度均大于原油黏度；当含水率在</w:t>
      </w:r>
      <w:r>
        <w:rPr>
          <w:rFonts w:cs="Times New Roman" w:hint="eastAsia"/>
          <w:sz w:val="24"/>
        </w:rPr>
        <w:t>30%-90%</w:t>
      </w:r>
      <w:r>
        <w:rPr>
          <w:rFonts w:cs="Times New Roman" w:hint="eastAsia"/>
          <w:sz w:val="24"/>
        </w:rPr>
        <w:t>范围内时，乳状</w:t>
      </w:r>
      <w:r>
        <w:rPr>
          <w:rFonts w:cs="Times New Roman" w:hint="eastAsia"/>
          <w:sz w:val="24"/>
        </w:rPr>
        <w:t>液的黏度是原油黏度的数倍，表现出良好的流度自控能力。</w:t>
      </w:r>
    </w:p>
    <w:p w:rsidR="0022448D" w:rsidRDefault="00063D19">
      <w:pPr>
        <w:spacing w:line="360" w:lineRule="auto"/>
        <w:ind w:firstLineChars="200" w:firstLine="480"/>
        <w:jc w:val="center"/>
        <w:rPr>
          <w:rFonts w:cs="Times New Roman"/>
          <w:sz w:val="24"/>
        </w:rPr>
      </w:pPr>
      <w:r>
        <w:rPr>
          <w:rFonts w:cs="Times New Roman" w:hint="eastAsia"/>
          <w:sz w:val="24"/>
        </w:rPr>
        <w:t>表</w:t>
      </w:r>
      <w:r>
        <w:rPr>
          <w:rFonts w:cs="Times New Roman" w:hint="eastAsia"/>
          <w:sz w:val="24"/>
        </w:rPr>
        <w:t xml:space="preserve">2 </w:t>
      </w:r>
      <w:r>
        <w:rPr>
          <w:rFonts w:cs="Times New Roman" w:hint="eastAsia"/>
          <w:sz w:val="24"/>
        </w:rPr>
        <w:t>双重调驱体系与原油</w:t>
      </w:r>
      <w:r>
        <w:rPr>
          <w:rFonts w:cs="Times New Roman" w:hint="eastAsia"/>
          <w:sz w:val="24"/>
        </w:rPr>
        <w:t>(</w:t>
      </w:r>
      <w:r>
        <w:rPr>
          <w:rFonts w:cs="Times New Roman" w:hint="eastAsia"/>
          <w:sz w:val="24"/>
        </w:rPr>
        <w:t>黏度为</w:t>
      </w:r>
      <w:r>
        <w:rPr>
          <w:rFonts w:cs="Times New Roman" w:hint="eastAsia"/>
          <w:sz w:val="24"/>
        </w:rPr>
        <w:t>9.8mPa</w:t>
      </w:r>
      <w:r>
        <w:rPr>
          <w:rFonts w:cs="Times New Roman" w:hint="eastAsia"/>
          <w:sz w:val="24"/>
        </w:rPr>
        <w:t>·</w:t>
      </w:r>
      <w:r>
        <w:rPr>
          <w:rFonts w:cs="Times New Roman" w:hint="eastAsia"/>
          <w:sz w:val="24"/>
        </w:rPr>
        <w:t>s)</w:t>
      </w:r>
      <w:r>
        <w:rPr>
          <w:rFonts w:cs="Times New Roman" w:hint="eastAsia"/>
          <w:sz w:val="24"/>
        </w:rPr>
        <w:t>的乳化性能</w:t>
      </w:r>
    </w:p>
    <w:tbl>
      <w:tblPr>
        <w:tblStyle w:val="a7"/>
        <w:tblW w:w="8054" w:type="dxa"/>
        <w:jc w:val="center"/>
        <w:tblInd w:w="257" w:type="dxa"/>
        <w:tblLayout w:type="fixed"/>
        <w:tblLook w:val="04A0" w:firstRow="1" w:lastRow="0" w:firstColumn="1" w:lastColumn="0" w:noHBand="0" w:noVBand="1"/>
      </w:tblPr>
      <w:tblGrid>
        <w:gridCol w:w="1163"/>
        <w:gridCol w:w="1420"/>
        <w:gridCol w:w="1420"/>
        <w:gridCol w:w="1176"/>
        <w:gridCol w:w="1475"/>
        <w:gridCol w:w="1400"/>
      </w:tblGrid>
      <w:tr w:rsidR="0022448D">
        <w:trPr>
          <w:jc w:val="center"/>
        </w:trPr>
        <w:tc>
          <w:tcPr>
            <w:tcW w:w="4003" w:type="dxa"/>
            <w:gridSpan w:val="3"/>
            <w:vAlign w:val="center"/>
          </w:tcPr>
          <w:p w:rsidR="0022448D" w:rsidRDefault="00063D19">
            <w:pPr>
              <w:spacing w:line="360" w:lineRule="auto"/>
              <w:ind w:firstLineChars="200" w:firstLine="480"/>
              <w:jc w:val="center"/>
              <w:rPr>
                <w:rFonts w:cs="Times New Roman"/>
                <w:sz w:val="24"/>
              </w:rPr>
            </w:pPr>
            <w:r>
              <w:rPr>
                <w:rFonts w:cs="Times New Roman" w:hint="eastAsia"/>
                <w:sz w:val="24"/>
              </w:rPr>
              <w:t>矿化度</w:t>
            </w:r>
            <w:r>
              <w:rPr>
                <w:rFonts w:cs="Times New Roman" w:hint="eastAsia"/>
                <w:sz w:val="24"/>
              </w:rPr>
              <w:t>50000mg/L</w:t>
            </w:r>
          </w:p>
        </w:tc>
        <w:tc>
          <w:tcPr>
            <w:tcW w:w="4051" w:type="dxa"/>
            <w:gridSpan w:val="3"/>
            <w:vAlign w:val="center"/>
          </w:tcPr>
          <w:p w:rsidR="0022448D" w:rsidRDefault="00063D19">
            <w:pPr>
              <w:spacing w:line="360" w:lineRule="auto"/>
              <w:ind w:firstLineChars="200" w:firstLine="480"/>
              <w:jc w:val="center"/>
              <w:rPr>
                <w:rFonts w:cs="Times New Roman"/>
                <w:sz w:val="24"/>
              </w:rPr>
            </w:pPr>
            <w:r>
              <w:rPr>
                <w:rFonts w:cs="Times New Roman" w:hint="eastAsia"/>
                <w:sz w:val="24"/>
              </w:rPr>
              <w:t>矿化度</w:t>
            </w:r>
            <w:r>
              <w:rPr>
                <w:rFonts w:cs="Times New Roman" w:hint="eastAsia"/>
                <w:sz w:val="24"/>
              </w:rPr>
              <w:t>100000mg/L</w:t>
            </w:r>
          </w:p>
        </w:tc>
      </w:tr>
      <w:tr w:rsidR="0022448D">
        <w:trPr>
          <w:jc w:val="center"/>
        </w:trPr>
        <w:tc>
          <w:tcPr>
            <w:tcW w:w="1163" w:type="dxa"/>
            <w:vAlign w:val="center"/>
          </w:tcPr>
          <w:p w:rsidR="0022448D" w:rsidRDefault="00063D19">
            <w:pPr>
              <w:spacing w:line="360" w:lineRule="auto"/>
              <w:jc w:val="center"/>
              <w:rPr>
                <w:rFonts w:cs="Times New Roman"/>
                <w:sz w:val="24"/>
              </w:rPr>
            </w:pPr>
            <w:r>
              <w:rPr>
                <w:rFonts w:cs="Times New Roman" w:hint="eastAsia"/>
                <w:sz w:val="24"/>
              </w:rPr>
              <w:t>含水率</w:t>
            </w:r>
            <w:r>
              <w:rPr>
                <w:rFonts w:cs="Times New Roman" w:hint="eastAsia"/>
                <w:sz w:val="24"/>
              </w:rPr>
              <w:t>(%)</w:t>
            </w:r>
          </w:p>
        </w:tc>
        <w:tc>
          <w:tcPr>
            <w:tcW w:w="1420" w:type="dxa"/>
            <w:vAlign w:val="center"/>
          </w:tcPr>
          <w:p w:rsidR="0022448D" w:rsidRDefault="00063D19">
            <w:pPr>
              <w:spacing w:line="360" w:lineRule="auto"/>
              <w:jc w:val="center"/>
              <w:rPr>
                <w:rFonts w:cs="Times New Roman"/>
                <w:sz w:val="24"/>
              </w:rPr>
            </w:pPr>
            <w:r>
              <w:rPr>
                <w:rFonts w:cs="Times New Roman" w:hint="eastAsia"/>
                <w:sz w:val="24"/>
              </w:rPr>
              <w:t>乳状液类型</w:t>
            </w:r>
          </w:p>
        </w:tc>
        <w:tc>
          <w:tcPr>
            <w:tcW w:w="1420" w:type="dxa"/>
            <w:vAlign w:val="center"/>
          </w:tcPr>
          <w:p w:rsidR="0022448D" w:rsidRDefault="00063D19">
            <w:pPr>
              <w:spacing w:line="360" w:lineRule="auto"/>
              <w:jc w:val="center"/>
              <w:rPr>
                <w:rFonts w:cs="Times New Roman"/>
                <w:sz w:val="24"/>
              </w:rPr>
            </w:pPr>
            <w:r>
              <w:rPr>
                <w:rFonts w:cs="Times New Roman" w:hint="eastAsia"/>
                <w:sz w:val="24"/>
              </w:rPr>
              <w:t>乳状液黏度</w:t>
            </w:r>
            <w:r>
              <w:rPr>
                <w:rFonts w:cs="Times New Roman" w:hint="eastAsia"/>
                <w:sz w:val="24"/>
              </w:rPr>
              <w:t>(</w:t>
            </w:r>
            <w:proofErr w:type="spellStart"/>
            <w:r>
              <w:rPr>
                <w:rFonts w:cs="Times New Roman" w:hint="eastAsia"/>
                <w:sz w:val="24"/>
              </w:rPr>
              <w:t>mPa</w:t>
            </w:r>
            <w:proofErr w:type="spellEnd"/>
            <w:r>
              <w:rPr>
                <w:rFonts w:cs="Times New Roman" w:hint="eastAsia"/>
                <w:sz w:val="24"/>
              </w:rPr>
              <w:t>·</w:t>
            </w:r>
            <w:r>
              <w:rPr>
                <w:rFonts w:cs="Times New Roman" w:hint="eastAsia"/>
                <w:sz w:val="24"/>
              </w:rPr>
              <w:t>s)</w:t>
            </w:r>
          </w:p>
        </w:tc>
        <w:tc>
          <w:tcPr>
            <w:tcW w:w="1176" w:type="dxa"/>
            <w:vAlign w:val="center"/>
          </w:tcPr>
          <w:p w:rsidR="0022448D" w:rsidRDefault="00063D19">
            <w:pPr>
              <w:spacing w:line="360" w:lineRule="auto"/>
              <w:jc w:val="center"/>
              <w:rPr>
                <w:rFonts w:cs="Times New Roman"/>
                <w:sz w:val="24"/>
              </w:rPr>
            </w:pPr>
            <w:r>
              <w:rPr>
                <w:rFonts w:cs="Times New Roman" w:hint="eastAsia"/>
                <w:sz w:val="24"/>
              </w:rPr>
              <w:t>含水率</w:t>
            </w:r>
            <w:r>
              <w:rPr>
                <w:rFonts w:cs="Times New Roman" w:hint="eastAsia"/>
                <w:sz w:val="24"/>
              </w:rPr>
              <w:t>(%)</w:t>
            </w:r>
          </w:p>
        </w:tc>
        <w:tc>
          <w:tcPr>
            <w:tcW w:w="1475" w:type="dxa"/>
            <w:vAlign w:val="center"/>
          </w:tcPr>
          <w:p w:rsidR="0022448D" w:rsidRDefault="00063D19">
            <w:pPr>
              <w:spacing w:line="360" w:lineRule="auto"/>
              <w:jc w:val="center"/>
              <w:rPr>
                <w:rFonts w:cs="Times New Roman"/>
                <w:sz w:val="24"/>
              </w:rPr>
            </w:pPr>
            <w:r>
              <w:rPr>
                <w:rFonts w:cs="Times New Roman" w:hint="eastAsia"/>
                <w:sz w:val="24"/>
              </w:rPr>
              <w:t>乳状液类型</w:t>
            </w:r>
          </w:p>
        </w:tc>
        <w:tc>
          <w:tcPr>
            <w:tcW w:w="1400" w:type="dxa"/>
            <w:vAlign w:val="center"/>
          </w:tcPr>
          <w:p w:rsidR="0022448D" w:rsidRDefault="00063D19">
            <w:pPr>
              <w:spacing w:line="360" w:lineRule="auto"/>
              <w:jc w:val="center"/>
              <w:rPr>
                <w:rFonts w:cs="Times New Roman"/>
                <w:sz w:val="24"/>
              </w:rPr>
            </w:pPr>
            <w:r>
              <w:rPr>
                <w:rFonts w:cs="Times New Roman" w:hint="eastAsia"/>
                <w:sz w:val="24"/>
              </w:rPr>
              <w:t>乳状液黏度</w:t>
            </w:r>
            <w:r>
              <w:rPr>
                <w:rFonts w:cs="Times New Roman" w:hint="eastAsia"/>
                <w:sz w:val="24"/>
              </w:rPr>
              <w:t>(</w:t>
            </w:r>
            <w:proofErr w:type="spellStart"/>
            <w:r>
              <w:rPr>
                <w:rFonts w:cs="Times New Roman" w:hint="eastAsia"/>
                <w:sz w:val="24"/>
              </w:rPr>
              <w:t>mPa</w:t>
            </w:r>
            <w:proofErr w:type="spellEnd"/>
            <w:r>
              <w:rPr>
                <w:rFonts w:cs="Times New Roman" w:hint="eastAsia"/>
                <w:sz w:val="24"/>
              </w:rPr>
              <w:t>·</w:t>
            </w:r>
            <w:r>
              <w:rPr>
                <w:rFonts w:cs="Times New Roman" w:hint="eastAsia"/>
                <w:sz w:val="24"/>
              </w:rPr>
              <w:t>s)</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lastRenderedPageBreak/>
              <w:t>10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11.5</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10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10.7</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t>30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22.3</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30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21.6</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t>50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42.7</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50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38.7</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t>70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78.5</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70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56.4</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t>80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48.2</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80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22.8</w:t>
            </w:r>
          </w:p>
        </w:tc>
      </w:tr>
      <w:tr w:rsidR="0022448D">
        <w:trPr>
          <w:jc w:val="center"/>
        </w:trPr>
        <w:tc>
          <w:tcPr>
            <w:tcW w:w="1163" w:type="dxa"/>
            <w:vAlign w:val="center"/>
          </w:tcPr>
          <w:p w:rsidR="0022448D" w:rsidRDefault="00063D19">
            <w:pPr>
              <w:spacing w:line="360" w:lineRule="auto"/>
              <w:ind w:firstLineChars="200" w:firstLine="480"/>
              <w:rPr>
                <w:rFonts w:cs="Times New Roman"/>
                <w:sz w:val="24"/>
              </w:rPr>
            </w:pPr>
            <w:r>
              <w:rPr>
                <w:rFonts w:cs="Times New Roman" w:hint="eastAsia"/>
                <w:sz w:val="24"/>
              </w:rPr>
              <w:t>90</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20" w:type="dxa"/>
            <w:vAlign w:val="center"/>
          </w:tcPr>
          <w:p w:rsidR="0022448D" w:rsidRDefault="00063D19">
            <w:pPr>
              <w:spacing w:line="360" w:lineRule="auto"/>
              <w:ind w:firstLineChars="200" w:firstLine="480"/>
              <w:rPr>
                <w:rFonts w:cs="Times New Roman"/>
                <w:sz w:val="24"/>
              </w:rPr>
            </w:pPr>
            <w:r>
              <w:rPr>
                <w:rFonts w:cs="Times New Roman" w:hint="eastAsia"/>
                <w:sz w:val="24"/>
              </w:rPr>
              <w:t>42.3</w:t>
            </w:r>
          </w:p>
        </w:tc>
        <w:tc>
          <w:tcPr>
            <w:tcW w:w="1176" w:type="dxa"/>
            <w:vAlign w:val="center"/>
          </w:tcPr>
          <w:p w:rsidR="0022448D" w:rsidRDefault="00063D19">
            <w:pPr>
              <w:spacing w:line="360" w:lineRule="auto"/>
              <w:ind w:firstLineChars="200" w:firstLine="480"/>
              <w:rPr>
                <w:rFonts w:cs="Times New Roman"/>
                <w:sz w:val="24"/>
              </w:rPr>
            </w:pPr>
            <w:r>
              <w:rPr>
                <w:rFonts w:cs="Times New Roman" w:hint="eastAsia"/>
                <w:sz w:val="24"/>
              </w:rPr>
              <w:t>90</w:t>
            </w:r>
          </w:p>
        </w:tc>
        <w:tc>
          <w:tcPr>
            <w:tcW w:w="1475" w:type="dxa"/>
            <w:vAlign w:val="center"/>
          </w:tcPr>
          <w:p w:rsidR="0022448D" w:rsidRDefault="00063D19">
            <w:pPr>
              <w:spacing w:line="360" w:lineRule="auto"/>
              <w:ind w:firstLineChars="200" w:firstLine="480"/>
              <w:rPr>
                <w:rFonts w:cs="Times New Roman"/>
                <w:sz w:val="24"/>
              </w:rPr>
            </w:pPr>
            <w:r>
              <w:rPr>
                <w:rFonts w:cs="Times New Roman" w:hint="eastAsia"/>
                <w:sz w:val="24"/>
              </w:rPr>
              <w:t>W/O</w:t>
            </w:r>
          </w:p>
        </w:tc>
        <w:tc>
          <w:tcPr>
            <w:tcW w:w="1400" w:type="dxa"/>
            <w:vAlign w:val="center"/>
          </w:tcPr>
          <w:p w:rsidR="0022448D" w:rsidRDefault="00063D19">
            <w:pPr>
              <w:spacing w:line="360" w:lineRule="auto"/>
              <w:ind w:firstLineChars="200" w:firstLine="480"/>
              <w:rPr>
                <w:rFonts w:cs="Times New Roman"/>
                <w:sz w:val="24"/>
              </w:rPr>
            </w:pPr>
            <w:r>
              <w:rPr>
                <w:rFonts w:cs="Times New Roman" w:hint="eastAsia"/>
                <w:sz w:val="24"/>
              </w:rPr>
              <w:t>26.7</w:t>
            </w:r>
          </w:p>
        </w:tc>
      </w:tr>
    </w:tbl>
    <w:p w:rsidR="0022448D" w:rsidRDefault="00063D19">
      <w:pPr>
        <w:spacing w:line="360" w:lineRule="auto"/>
        <w:ind w:firstLineChars="200" w:firstLine="480"/>
        <w:rPr>
          <w:rFonts w:cs="Times New Roman"/>
          <w:sz w:val="24"/>
        </w:rPr>
      </w:pPr>
      <w:r>
        <w:rPr>
          <w:rFonts w:cs="Times New Roman" w:hint="eastAsia"/>
          <w:sz w:val="24"/>
        </w:rPr>
        <w:t>3</w:t>
      </w:r>
      <w:r>
        <w:rPr>
          <w:rFonts w:cs="Times New Roman" w:hint="eastAsia"/>
          <w:sz w:val="24"/>
        </w:rPr>
        <w:t>、双重调控体系的调驱的能力</w:t>
      </w:r>
    </w:p>
    <w:p w:rsidR="0022448D" w:rsidRDefault="00063D19">
      <w:pPr>
        <w:spacing w:line="360" w:lineRule="auto"/>
        <w:ind w:firstLineChars="200" w:firstLine="480"/>
        <w:rPr>
          <w:rFonts w:cs="Times New Roman"/>
          <w:sz w:val="24"/>
        </w:rPr>
      </w:pPr>
      <w:r>
        <w:rPr>
          <w:rFonts w:cs="Times New Roman" w:hint="eastAsia"/>
          <w:sz w:val="24"/>
        </w:rPr>
        <w:t>体系准备：配制矿化度为</w:t>
      </w:r>
      <w:r>
        <w:rPr>
          <w:rFonts w:cs="Times New Roman" w:hint="eastAsia"/>
          <w:sz w:val="24"/>
        </w:rPr>
        <w:t>100000mg/L(Ca2+</w:t>
      </w:r>
      <w:r>
        <w:rPr>
          <w:rFonts w:cs="Times New Roman" w:hint="eastAsia"/>
          <w:sz w:val="24"/>
        </w:rPr>
        <w:t>、</w:t>
      </w:r>
      <w:r>
        <w:rPr>
          <w:rFonts w:cs="Times New Roman" w:hint="eastAsia"/>
          <w:sz w:val="24"/>
        </w:rPr>
        <w:t>Mg2+</w:t>
      </w:r>
      <w:r>
        <w:rPr>
          <w:rFonts w:cs="Times New Roman" w:hint="eastAsia"/>
          <w:sz w:val="24"/>
        </w:rPr>
        <w:t>浓度为</w:t>
      </w:r>
      <w:r>
        <w:rPr>
          <w:rFonts w:cs="Times New Roman" w:hint="eastAsia"/>
          <w:sz w:val="24"/>
        </w:rPr>
        <w:t>1500mg/L)</w:t>
      </w:r>
      <w:r>
        <w:rPr>
          <w:rFonts w:cs="Times New Roman" w:hint="eastAsia"/>
          <w:sz w:val="24"/>
        </w:rPr>
        <w:t>的模拟地层水</w:t>
      </w:r>
      <w:r>
        <w:rPr>
          <w:rFonts w:cs="Times New Roman" w:hint="eastAsia"/>
          <w:sz w:val="24"/>
        </w:rPr>
        <w:t>100mL</w:t>
      </w:r>
      <w:r>
        <w:rPr>
          <w:rFonts w:cs="Times New Roman" w:hint="eastAsia"/>
          <w:sz w:val="24"/>
        </w:rPr>
        <w:t>，随后加入</w:t>
      </w:r>
      <w:r>
        <w:rPr>
          <w:rFonts w:cs="Times New Roman" w:hint="eastAsia"/>
          <w:sz w:val="24"/>
        </w:rPr>
        <w:t>1g</w:t>
      </w:r>
      <w:r>
        <w:rPr>
          <w:rFonts w:cs="Times New Roman" w:hint="eastAsia"/>
          <w:sz w:val="24"/>
        </w:rPr>
        <w:t>上述体系，搅拌均匀。</w:t>
      </w:r>
    </w:p>
    <w:p w:rsidR="0022448D" w:rsidRDefault="00063D19">
      <w:pPr>
        <w:spacing w:line="360" w:lineRule="auto"/>
        <w:ind w:firstLineChars="200" w:firstLine="480"/>
        <w:rPr>
          <w:rFonts w:cs="Times New Roman"/>
          <w:sz w:val="24"/>
        </w:rPr>
      </w:pPr>
      <w:r>
        <w:rPr>
          <w:rFonts w:cs="Times New Roman" w:hint="eastAsia"/>
          <w:sz w:val="24"/>
        </w:rPr>
        <w:t>为了对比研究聚合物微球体系与双重调控体系的性能，取实施例</w:t>
      </w:r>
      <w:r>
        <w:rPr>
          <w:rFonts w:cs="Times New Roman" w:hint="eastAsia"/>
          <w:sz w:val="24"/>
        </w:rPr>
        <w:t>1</w:t>
      </w:r>
      <w:r>
        <w:rPr>
          <w:rFonts w:cs="Times New Roman" w:hint="eastAsia"/>
          <w:sz w:val="24"/>
        </w:rPr>
        <w:t>中的双重调控体系</w:t>
      </w:r>
      <w:r>
        <w:rPr>
          <w:rFonts w:cs="Times New Roman" w:hint="eastAsia"/>
          <w:sz w:val="24"/>
        </w:rPr>
        <w:t>50mL</w:t>
      </w:r>
      <w:r>
        <w:rPr>
          <w:rFonts w:cs="Times New Roman" w:hint="eastAsia"/>
          <w:sz w:val="24"/>
        </w:rPr>
        <w:t>，利用乙醇破乳后烘干获得聚合物微球，并取</w:t>
      </w:r>
      <w:r>
        <w:rPr>
          <w:rFonts w:cs="Times New Roman" w:hint="eastAsia"/>
          <w:sz w:val="24"/>
        </w:rPr>
        <w:t>1g</w:t>
      </w:r>
      <w:r>
        <w:rPr>
          <w:rFonts w:cs="Times New Roman" w:hint="eastAsia"/>
          <w:sz w:val="24"/>
        </w:rPr>
        <w:t>该聚合物微球加入到</w:t>
      </w:r>
      <w:r>
        <w:rPr>
          <w:rFonts w:cs="Times New Roman" w:hint="eastAsia"/>
          <w:sz w:val="24"/>
        </w:rPr>
        <w:t>100mL</w:t>
      </w:r>
      <w:r>
        <w:rPr>
          <w:rFonts w:cs="Times New Roman" w:hint="eastAsia"/>
          <w:sz w:val="24"/>
        </w:rPr>
        <w:t>上述模拟地层水中做对比实验。</w:t>
      </w:r>
    </w:p>
    <w:p w:rsidR="0022448D" w:rsidRDefault="00063D19">
      <w:pPr>
        <w:spacing w:line="360" w:lineRule="auto"/>
        <w:ind w:firstLineChars="200" w:firstLine="480"/>
        <w:rPr>
          <w:rFonts w:cs="Times New Roman"/>
          <w:sz w:val="24"/>
        </w:rPr>
      </w:pPr>
      <w:r>
        <w:rPr>
          <w:rFonts w:cs="Times New Roman" w:hint="eastAsia"/>
          <w:sz w:val="24"/>
        </w:rPr>
        <w:t>实验温度：</w:t>
      </w:r>
      <w:r>
        <w:rPr>
          <w:rFonts w:cs="Times New Roman" w:hint="eastAsia"/>
          <w:sz w:val="24"/>
        </w:rPr>
        <w:t>90</w:t>
      </w:r>
      <w:r>
        <w:rPr>
          <w:rFonts w:cs="Times New Roman" w:hint="eastAsia"/>
          <w:sz w:val="24"/>
        </w:rPr>
        <w:t>℃</w:t>
      </w:r>
    </w:p>
    <w:p w:rsidR="0022448D" w:rsidRPr="009272AC" w:rsidRDefault="00063D19">
      <w:pPr>
        <w:spacing w:line="360" w:lineRule="auto"/>
        <w:ind w:firstLineChars="200" w:firstLine="480"/>
        <w:rPr>
          <w:rFonts w:cs="Times New Roman"/>
          <w:sz w:val="24"/>
        </w:rPr>
      </w:pPr>
      <w:r>
        <w:rPr>
          <w:rFonts w:cs="Times New Roman" w:hint="eastAsia"/>
          <w:sz w:val="24"/>
        </w:rPr>
        <w:t>驱油性能：通过双并联岩心实验，在渗透率级差为</w:t>
      </w:r>
      <w:r>
        <w:rPr>
          <w:rFonts w:cs="Times New Roman" w:hint="eastAsia"/>
          <w:sz w:val="24"/>
        </w:rPr>
        <w:t>15</w:t>
      </w:r>
      <w:r>
        <w:rPr>
          <w:rFonts w:cs="Times New Roman" w:hint="eastAsia"/>
          <w:sz w:val="24"/>
        </w:rPr>
        <w:t>，低渗岩心渗透率为</w:t>
      </w:r>
      <w:r>
        <w:rPr>
          <w:rFonts w:cs="Times New Roman" w:hint="eastAsia"/>
          <w:sz w:val="24"/>
        </w:rPr>
        <w:t>300mD</w:t>
      </w:r>
      <w:r>
        <w:rPr>
          <w:rFonts w:cs="Times New Roman" w:hint="eastAsia"/>
          <w:sz w:val="24"/>
        </w:rPr>
        <w:t>的条件下，先水驱至含水率为</w:t>
      </w:r>
      <w:r>
        <w:rPr>
          <w:rFonts w:cs="Times New Roman" w:hint="eastAsia"/>
          <w:sz w:val="24"/>
        </w:rPr>
        <w:t>98%</w:t>
      </w:r>
      <w:r>
        <w:rPr>
          <w:rFonts w:cs="Times New Roman" w:hint="eastAsia"/>
          <w:sz w:val="24"/>
        </w:rPr>
        <w:t>时，注入</w:t>
      </w:r>
      <w:r>
        <w:rPr>
          <w:rFonts w:cs="Times New Roman" w:hint="eastAsia"/>
          <w:sz w:val="24"/>
        </w:rPr>
        <w:t>0.5PV</w:t>
      </w:r>
      <w:r>
        <w:rPr>
          <w:rFonts w:cs="Times New Roman" w:hint="eastAsia"/>
          <w:sz w:val="24"/>
        </w:rPr>
        <w:t>体系，再进行后续水驱，实验结果如图</w:t>
      </w:r>
      <w:r w:rsidRPr="009272AC">
        <w:rPr>
          <w:rFonts w:cs="Times New Roman" w:hint="eastAsia"/>
          <w:sz w:val="24"/>
        </w:rPr>
        <w:t>1</w:t>
      </w:r>
      <w:r w:rsidRPr="009272AC">
        <w:rPr>
          <w:rFonts w:cs="Times New Roman" w:hint="eastAsia"/>
          <w:sz w:val="24"/>
        </w:rPr>
        <w:t>和图</w:t>
      </w:r>
      <w:r w:rsidRPr="009272AC">
        <w:rPr>
          <w:rFonts w:cs="Times New Roman" w:hint="eastAsia"/>
          <w:sz w:val="24"/>
        </w:rPr>
        <w:t>2</w:t>
      </w:r>
      <w:r w:rsidRPr="009272AC">
        <w:rPr>
          <w:rFonts w:cs="Times New Roman" w:hint="eastAsia"/>
          <w:sz w:val="24"/>
        </w:rPr>
        <w:t>所示。</w:t>
      </w:r>
      <w:bookmarkStart w:id="1" w:name="_GoBack"/>
      <w:bookmarkEnd w:id="1"/>
    </w:p>
    <w:p w:rsidR="0022448D" w:rsidRDefault="00063D19">
      <w:pPr>
        <w:spacing w:line="360" w:lineRule="auto"/>
        <w:ind w:firstLineChars="200" w:firstLine="480"/>
        <w:rPr>
          <w:rFonts w:cs="Times New Roman"/>
          <w:sz w:val="24"/>
        </w:rPr>
      </w:pPr>
      <w:r w:rsidRPr="009272AC">
        <w:rPr>
          <w:rFonts w:cs="Times New Roman" w:hint="eastAsia"/>
          <w:sz w:val="24"/>
        </w:rPr>
        <w:t>实验结果表明，对于单一的聚</w:t>
      </w:r>
      <w:r>
        <w:rPr>
          <w:rFonts w:cs="Times New Roman" w:hint="eastAsia"/>
          <w:sz w:val="24"/>
        </w:rPr>
        <w:t>合物微球体系，聚合物微球驱及后续水驱能够提高高渗岩心采收率</w:t>
      </w:r>
      <w:r>
        <w:rPr>
          <w:rFonts w:cs="Times New Roman" w:hint="eastAsia"/>
          <w:sz w:val="24"/>
        </w:rPr>
        <w:t>18.6%</w:t>
      </w:r>
      <w:r>
        <w:rPr>
          <w:rFonts w:cs="Times New Roman" w:hint="eastAsia"/>
          <w:sz w:val="24"/>
        </w:rPr>
        <w:t>，提高低渗采收率</w:t>
      </w:r>
      <w:r>
        <w:rPr>
          <w:rFonts w:cs="Times New Roman" w:hint="eastAsia"/>
          <w:sz w:val="24"/>
        </w:rPr>
        <w:t>18.5%</w:t>
      </w:r>
      <w:r>
        <w:rPr>
          <w:rFonts w:cs="Times New Roman" w:hint="eastAsia"/>
          <w:sz w:val="24"/>
        </w:rPr>
        <w:t>；而双重调控体系能够提高高渗岩心采收率</w:t>
      </w:r>
      <w:r>
        <w:rPr>
          <w:rFonts w:cs="Times New Roman" w:hint="eastAsia"/>
          <w:sz w:val="24"/>
        </w:rPr>
        <w:t>16.3%</w:t>
      </w:r>
      <w:r>
        <w:rPr>
          <w:rFonts w:cs="Times New Roman" w:hint="eastAsia"/>
          <w:sz w:val="24"/>
        </w:rPr>
        <w:t>，提高低渗岩心采收率</w:t>
      </w:r>
      <w:r>
        <w:rPr>
          <w:rFonts w:cs="Times New Roman" w:hint="eastAsia"/>
          <w:sz w:val="24"/>
        </w:rPr>
        <w:t>31.6%</w:t>
      </w:r>
      <w:r>
        <w:rPr>
          <w:rFonts w:cs="Times New Roman" w:hint="eastAsia"/>
          <w:sz w:val="24"/>
        </w:rPr>
        <w:t>，证明了在非均质性强的地层上的驱替性能明显优于聚合物微球体系。</w:t>
      </w:r>
    </w:p>
    <w:p w:rsidR="0022448D" w:rsidRDefault="00063D19">
      <w:pPr>
        <w:spacing w:line="360" w:lineRule="auto"/>
        <w:ind w:firstLineChars="200" w:firstLine="480"/>
        <w:rPr>
          <w:rFonts w:cs="Times New Roman"/>
          <w:sz w:val="24"/>
        </w:rPr>
        <w:sectPr w:rsidR="0022448D">
          <w:headerReference w:type="default" r:id="rId25"/>
          <w:pgSz w:w="11906" w:h="16838"/>
          <w:pgMar w:top="1440" w:right="1800" w:bottom="1440" w:left="1800" w:header="851" w:footer="992" w:gutter="0"/>
          <w:pgNumType w:start="1"/>
          <w:cols w:space="0"/>
          <w:docGrid w:type="lines" w:linePitch="312"/>
        </w:sectPr>
      </w:pPr>
      <w:r>
        <w:rPr>
          <w:rFonts w:ascii="Times New Roman" w:eastAsia="宋体" w:hAnsi="Times New Roman" w:cs="Times New Roman" w:hint="eastAsia"/>
          <w:kern w:val="0"/>
          <w:sz w:val="24"/>
          <w:szCs w:val="21"/>
        </w:rPr>
        <w:t>上述具体实施方案已结合</w:t>
      </w:r>
      <w:r>
        <w:rPr>
          <w:rFonts w:ascii="Times New Roman" w:eastAsia="宋体" w:hAnsi="Times New Roman" w:cs="Times New Roman" w:hint="eastAsia"/>
          <w:kern w:val="0"/>
          <w:sz w:val="24"/>
          <w:szCs w:val="21"/>
        </w:rPr>
        <w:t>附图对本发明的方法进行详述，但是本发明并不限于上述的具体实施方式，上述的具体实施方式仅仅是示意性的，并不是限制性的，本领域的普通技术人员在本发明的启示下，只要在不超过本发明的主旨范围内，可对实验条件与分析方法及对象进行灵活的变更，这些均属于本发明的保护范围之内</w:t>
      </w:r>
    </w:p>
    <w:p w:rsidR="0022448D" w:rsidRDefault="0022448D">
      <w:pPr>
        <w:jc w:val="center"/>
      </w:pPr>
    </w:p>
    <w:p w:rsidR="0022448D" w:rsidRDefault="00063D19">
      <w:pPr>
        <w:jc w:val="center"/>
      </w:pPr>
      <w:r>
        <w:rPr>
          <w:rFonts w:hint="eastAsia"/>
          <w:noProof/>
        </w:rPr>
        <w:drawing>
          <wp:inline distT="0" distB="0" distL="114300" distR="114300">
            <wp:extent cx="5177790" cy="3589020"/>
            <wp:effectExtent l="0" t="0" r="3810" b="11430"/>
            <wp:docPr id="17" name="图片 17"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3"/>
                    <pic:cNvPicPr>
                      <a:picLocks noChangeAspect="1"/>
                    </pic:cNvPicPr>
                  </pic:nvPicPr>
                  <pic:blipFill>
                    <a:blip r:embed="rId26">
                      <a:grayscl/>
                    </a:blip>
                    <a:srcRect l="602" t="2965" r="1204" b="1271"/>
                    <a:stretch>
                      <a:fillRect/>
                    </a:stretch>
                  </pic:blipFill>
                  <pic:spPr>
                    <a:xfrm>
                      <a:off x="0" y="0"/>
                      <a:ext cx="5177790" cy="3589020"/>
                    </a:xfrm>
                    <a:prstGeom prst="rect">
                      <a:avLst/>
                    </a:prstGeom>
                  </pic:spPr>
                </pic:pic>
              </a:graphicData>
            </a:graphic>
          </wp:inline>
        </w:drawing>
      </w:r>
    </w:p>
    <w:p w:rsidR="0022448D" w:rsidRDefault="00063D19">
      <w:pPr>
        <w:jc w:val="center"/>
      </w:pPr>
      <w:r>
        <w:rPr>
          <w:rFonts w:hint="eastAsia"/>
        </w:rPr>
        <w:t>图</w:t>
      </w:r>
      <w:r>
        <w:rPr>
          <w:rFonts w:hint="eastAsia"/>
        </w:rPr>
        <w:t xml:space="preserve">1 </w:t>
      </w:r>
      <w:r>
        <w:rPr>
          <w:rFonts w:hint="eastAsia"/>
        </w:rPr>
        <w:t>聚合物微球调驱实验</w:t>
      </w:r>
    </w:p>
    <w:p w:rsidR="0022448D" w:rsidRDefault="0022448D">
      <w:pPr>
        <w:jc w:val="center"/>
      </w:pPr>
    </w:p>
    <w:p w:rsidR="0022448D" w:rsidRDefault="0022448D">
      <w:pPr>
        <w:jc w:val="center"/>
      </w:pPr>
    </w:p>
    <w:p w:rsidR="0022448D" w:rsidRDefault="00063D19">
      <w:pPr>
        <w:jc w:val="center"/>
      </w:pPr>
      <w:r>
        <w:rPr>
          <w:rFonts w:hint="eastAsia"/>
          <w:noProof/>
        </w:rPr>
        <w:drawing>
          <wp:inline distT="0" distB="0" distL="114300" distR="114300">
            <wp:extent cx="5193665" cy="3684270"/>
            <wp:effectExtent l="0" t="0" r="6985" b="11430"/>
            <wp:docPr id="18" name="图片 1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3"/>
                    <pic:cNvPicPr>
                      <a:picLocks noChangeAspect="1"/>
                    </pic:cNvPicPr>
                  </pic:nvPicPr>
                  <pic:blipFill>
                    <a:blip r:embed="rId26">
                      <a:grayscl/>
                    </a:blip>
                    <a:srcRect l="759" t="644" r="747" b="1050"/>
                    <a:stretch>
                      <a:fillRect/>
                    </a:stretch>
                  </pic:blipFill>
                  <pic:spPr>
                    <a:xfrm>
                      <a:off x="0" y="0"/>
                      <a:ext cx="5193665" cy="3684270"/>
                    </a:xfrm>
                    <a:prstGeom prst="rect">
                      <a:avLst/>
                    </a:prstGeom>
                  </pic:spPr>
                </pic:pic>
              </a:graphicData>
            </a:graphic>
          </wp:inline>
        </w:drawing>
      </w:r>
    </w:p>
    <w:p w:rsidR="0022448D" w:rsidRDefault="0022448D">
      <w:pPr>
        <w:jc w:val="center"/>
        <w:rPr>
          <w:rFonts w:cs="Times New Roman"/>
        </w:rPr>
      </w:pPr>
    </w:p>
    <w:p w:rsidR="0022448D" w:rsidRDefault="00063D19">
      <w:pPr>
        <w:jc w:val="center"/>
        <w:rPr>
          <w:rFonts w:cs="Times New Roman"/>
          <w:sz w:val="24"/>
        </w:rPr>
      </w:pPr>
      <w:r>
        <w:rPr>
          <w:rFonts w:hint="eastAsia"/>
        </w:rPr>
        <w:t>图</w:t>
      </w:r>
      <w:r>
        <w:rPr>
          <w:rFonts w:hint="eastAsia"/>
        </w:rPr>
        <w:t xml:space="preserve">2 </w:t>
      </w:r>
      <w:r>
        <w:rPr>
          <w:rFonts w:hint="eastAsia"/>
        </w:rPr>
        <w:t>双重调驱体系调驱实验</w:t>
      </w:r>
    </w:p>
    <w:sectPr w:rsidR="0022448D">
      <w:headerReference w:type="default" r:id="rId27"/>
      <w:pgSz w:w="11906" w:h="16838"/>
      <w:pgMar w:top="1440"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D19" w:rsidRDefault="00063D19">
      <w:r>
        <w:separator/>
      </w:r>
    </w:p>
  </w:endnote>
  <w:endnote w:type="continuationSeparator" w:id="0">
    <w:p w:rsidR="00063D19" w:rsidRDefault="0006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5"/>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D0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qqUPRkAgAAEQUAAA4AAAAAAAAAAAAAAAAALgIAAGRycy9lMm9Eb2Mu&#10;eG1sUEsBAi0AFAAGAAgAAAAhAHGq0bnXAAAABQEAAA8AAAAAAAAAAAAAAAAAvgQAAGRycy9kb3du&#10;cmV2LnhtbFBLBQYAAAAABAAEAPMAAADCBQAAAAA=&#10;" filled="f" stroked="f" strokeweight=".5pt">
              <v:textbox style="mso-fit-shape-to-text:t" inset="0,0,0,0">
                <w:txbxContent>
                  <w:p w:rsidR="0022448D" w:rsidRDefault="00063D19">
                    <w:pPr>
                      <w:pStyle w:val="a5"/>
                    </w:pPr>
                    <w:r>
                      <w:rPr>
                        <w:rFonts w:hint="eastAsia"/>
                      </w:rPr>
                      <w:fldChar w:fldCharType="begin"/>
                    </w:r>
                    <w:r>
                      <w:rPr>
                        <w:rFonts w:hint="eastAsia"/>
                      </w:rPr>
                      <w:instrText xml:space="preserve"> PAGE  \* MERGEFORMAT </w:instrText>
                    </w:r>
                    <w:r>
                      <w:rPr>
                        <w:rFonts w:hint="eastAsia"/>
                      </w:rPr>
                      <w:fldChar w:fldCharType="separate"/>
                    </w:r>
                    <w:r w:rsidR="009272AC">
                      <w:rPr>
                        <w:noProof/>
                      </w:rPr>
                      <w:t>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D19" w:rsidRDefault="00063D19">
      <w:r>
        <w:separator/>
      </w:r>
    </w:p>
  </w:footnote>
  <w:footnote w:type="continuationSeparator" w:id="0">
    <w:p w:rsidR="00063D19" w:rsidRDefault="00063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6"/>
      <w:jc w:val="center"/>
      <w:rPr>
        <w:spacing w:val="20"/>
        <w:sz w:val="28"/>
        <w:szCs w:val="28"/>
      </w:rPr>
    </w:pPr>
    <w:r>
      <w:rPr>
        <w:rFonts w:hint="eastAsia"/>
        <w:spacing w:val="20"/>
        <w:sz w:val="28"/>
        <w:szCs w:val="28"/>
      </w:rPr>
      <w:t>说明书摘要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6"/>
      <w:jc w:val="center"/>
      <w:rPr>
        <w:spacing w:val="20"/>
        <w:sz w:val="28"/>
        <w:szCs w:val="28"/>
      </w:rPr>
    </w:pPr>
    <w:r>
      <w:rPr>
        <w:rFonts w:hint="eastAsia"/>
        <w:spacing w:val="20"/>
        <w:sz w:val="28"/>
        <w:szCs w:val="28"/>
      </w:rPr>
      <w:t>摘要附图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6"/>
      <w:jc w:val="center"/>
      <w:rPr>
        <w:spacing w:val="20"/>
        <w:sz w:val="28"/>
        <w:szCs w:val="28"/>
      </w:rPr>
    </w:pPr>
    <w:r>
      <w:rPr>
        <w:rFonts w:hint="eastAsia"/>
        <w:spacing w:val="20"/>
        <w:sz w:val="28"/>
        <w:szCs w:val="28"/>
      </w:rPr>
      <w:t>权利要求书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6"/>
      <w:jc w:val="center"/>
      <w:rPr>
        <w:spacing w:val="20"/>
        <w:sz w:val="28"/>
        <w:szCs w:val="28"/>
      </w:rPr>
    </w:pPr>
    <w:r>
      <w:rPr>
        <w:rFonts w:hint="eastAsia"/>
        <w:spacing w:val="20"/>
        <w:sz w:val="28"/>
        <w:szCs w:val="28"/>
      </w:rPr>
      <w:t>说明书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48D" w:rsidRDefault="00063D19">
    <w:pPr>
      <w:pStyle w:val="a6"/>
      <w:jc w:val="center"/>
      <w:rPr>
        <w:spacing w:val="20"/>
        <w:sz w:val="28"/>
        <w:szCs w:val="28"/>
      </w:rPr>
    </w:pPr>
    <w:r>
      <w:rPr>
        <w:rFonts w:hint="eastAsia"/>
        <w:spacing w:val="20"/>
        <w:sz w:val="28"/>
        <w:szCs w:val="28"/>
      </w:rPr>
      <w:t>说明书附图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78A4A"/>
    <w:multiLevelType w:val="singleLevel"/>
    <w:tmpl w:val="C5178A4A"/>
    <w:lvl w:ilvl="0">
      <w:start w:val="1"/>
      <w:numFmt w:val="decimal"/>
      <w:suff w:val="nothing"/>
      <w:lvlText w:val="%1、"/>
      <w:lvlJc w:val="left"/>
    </w:lvl>
  </w:abstractNum>
  <w:abstractNum w:abstractNumId="1">
    <w:nsid w:val="50A51DB5"/>
    <w:multiLevelType w:val="singleLevel"/>
    <w:tmpl w:val="50A51DB5"/>
    <w:lvl w:ilvl="0">
      <w:start w:val="1"/>
      <w:numFmt w:val="decimal"/>
      <w:suff w:val="nothing"/>
      <w:lvlText w:val="%1、"/>
      <w:lvlJc w:val="left"/>
    </w:lvl>
  </w:abstractNum>
  <w:abstractNum w:abstractNumId="2">
    <w:nsid w:val="549B493A"/>
    <w:multiLevelType w:val="singleLevel"/>
    <w:tmpl w:val="549B493A"/>
    <w:lvl w:ilvl="0">
      <w:start w:val="1"/>
      <w:numFmt w:val="lowerLetter"/>
      <w:suff w:val="nothing"/>
      <w:lvlText w:val="%1、"/>
      <w:lvlJc w:val="left"/>
    </w:lvl>
  </w:abstractNum>
  <w:abstractNum w:abstractNumId="3">
    <w:nsid w:val="6B70D89C"/>
    <w:multiLevelType w:val="singleLevel"/>
    <w:tmpl w:val="6B70D89C"/>
    <w:lvl w:ilvl="0">
      <w:start w:val="1"/>
      <w:numFmt w:val="lowerLetter"/>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B77935"/>
    <w:rsid w:val="00063D19"/>
    <w:rsid w:val="0022448D"/>
    <w:rsid w:val="002307A0"/>
    <w:rsid w:val="0045244B"/>
    <w:rsid w:val="005F77D1"/>
    <w:rsid w:val="00837B54"/>
    <w:rsid w:val="00850B09"/>
    <w:rsid w:val="009272AC"/>
    <w:rsid w:val="00C42782"/>
    <w:rsid w:val="00CB2B21"/>
    <w:rsid w:val="00E35FC0"/>
    <w:rsid w:val="00EA7AAE"/>
    <w:rsid w:val="046C721A"/>
    <w:rsid w:val="093C47AA"/>
    <w:rsid w:val="0C844D50"/>
    <w:rsid w:val="121D1170"/>
    <w:rsid w:val="13A158E0"/>
    <w:rsid w:val="164B00FF"/>
    <w:rsid w:val="17B937E2"/>
    <w:rsid w:val="189C15F9"/>
    <w:rsid w:val="20C75E4B"/>
    <w:rsid w:val="21A65811"/>
    <w:rsid w:val="34166CBE"/>
    <w:rsid w:val="363E1AA0"/>
    <w:rsid w:val="37334F6A"/>
    <w:rsid w:val="3BD56270"/>
    <w:rsid w:val="3D4B7EEE"/>
    <w:rsid w:val="3E3614FF"/>
    <w:rsid w:val="3F7A0EF4"/>
    <w:rsid w:val="4219305C"/>
    <w:rsid w:val="42B9677B"/>
    <w:rsid w:val="4646778F"/>
    <w:rsid w:val="538010E3"/>
    <w:rsid w:val="54B77935"/>
    <w:rsid w:val="555D55E1"/>
    <w:rsid w:val="56E94248"/>
    <w:rsid w:val="5A4A45CA"/>
    <w:rsid w:val="5B847F16"/>
    <w:rsid w:val="5C701026"/>
    <w:rsid w:val="60CB0A4A"/>
    <w:rsid w:val="6F5F6435"/>
    <w:rsid w:val="777C2C18"/>
    <w:rsid w:val="79420D53"/>
    <w:rsid w:val="7D190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9"/>
    <w:unhideWhenUsed/>
    <w:qFormat/>
    <w:pPr>
      <w:keepNext/>
      <w:keepLines/>
      <w:jc w:val="left"/>
      <w:outlineLvl w:val="1"/>
    </w:pPr>
    <w:rPr>
      <w:rFonts w:eastAsiaTheme="majorEastAsia"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Pr>
      <w:sz w:val="21"/>
      <w:szCs w:val="21"/>
    </w:rPr>
  </w:style>
  <w:style w:type="character" w:customStyle="1" w:styleId="fontstyle01">
    <w:name w:val="fontstyle01"/>
    <w:basedOn w:val="a0"/>
    <w:qFormat/>
    <w:rPr>
      <w:rFonts w:ascii="宋体" w:eastAsia="宋体" w:hAnsi="宋体" w:hint="eastAsia"/>
      <w:color w:val="000000"/>
      <w:sz w:val="24"/>
      <w:szCs w:val="24"/>
    </w:rPr>
  </w:style>
  <w:style w:type="paragraph" w:styleId="a9">
    <w:name w:val="List Paragraph"/>
    <w:basedOn w:val="a"/>
    <w:uiPriority w:val="34"/>
    <w:qFormat/>
    <w:pPr>
      <w:ind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9"/>
    <w:unhideWhenUsed/>
    <w:qFormat/>
    <w:pPr>
      <w:keepNext/>
      <w:keepLines/>
      <w:jc w:val="left"/>
      <w:outlineLvl w:val="1"/>
    </w:pPr>
    <w:rPr>
      <w:rFonts w:eastAsiaTheme="majorEastAsia"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Pr>
      <w:sz w:val="21"/>
      <w:szCs w:val="21"/>
    </w:rPr>
  </w:style>
  <w:style w:type="character" w:customStyle="1" w:styleId="fontstyle01">
    <w:name w:val="fontstyle01"/>
    <w:basedOn w:val="a0"/>
    <w:qFormat/>
    <w:rPr>
      <w:rFonts w:ascii="宋体" w:eastAsia="宋体" w:hAnsi="宋体" w:hint="eastAsia"/>
      <w:color w:val="000000"/>
      <w:sz w:val="24"/>
      <w:szCs w:val="24"/>
    </w:rPr>
  </w:style>
  <w:style w:type="paragraph" w:styleId="a9">
    <w:name w:val="List Paragraph"/>
    <w:basedOn w:val="a"/>
    <w:uiPriority w:val="34"/>
    <w:qFormat/>
    <w:pPr>
      <w:ind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e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yperlink" Target="http://www.baidu.com/link?url=X8kXPeYkS7oVqdWsZ53gB9GhYT_Cb6EhoR09ebqXvtB5xF9wBkDP28rrPybOzMiH66dtEmEZCGCMD9CfTcSjx82YbhBqGDZIK068GbPsGj-f5RxoTNXbnIg_xeHPdd2xpCdRiqgBvadLkhMi6P1kucRKAvRoKzbp9-4n6TYJJGu"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baidu.com/link?url=X8kXPeYkS7oVqdWsZ53gB9GhYT_Cb6EhoR09ebqXvtB5xF9wBkDP28rrPybOzMiH66dtEmEZCGCMD9CfTcSjx82YbhBqGDZIK068GbPsGj-f5RxoTNXbnIg_xeHPdd2xpCdRiqgBvadLkhMi6P1kucRKAvRoKzbp9-4n6TYJJGu" TargetMode="External"/><Relationship Id="rId22" Type="http://schemas.openxmlformats.org/officeDocument/2006/relationships/hyperlink" Target="http://www.baidu.com/link?url=X8kXPeYkS7oVqdWsZ53gB9GhYT_Cb6EhoR09ebqXvtB5xF9wBkDP28rrPybOzMiH66dtEmEZCGCMD9CfTcSjx82YbhBqGDZIK068GbPsGj-f5RxoTNXbnIg_xeHPdd2xpCdRiqgBvadLkhMi6P1kucRKAvRoKzbp9-4n6TYJJGu" TargetMode="External"/><Relationship Id="rId27"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981</Words>
  <Characters>5593</Characters>
  <Application>Microsoft Office Word</Application>
  <DocSecurity>0</DocSecurity>
  <Lines>46</Lines>
  <Paragraphs>13</Paragraphs>
  <ScaleCrop>false</ScaleCrop>
  <Company>Microsoft</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机械鱼人</dc:creator>
  <cp:lastModifiedBy>Microsoft</cp:lastModifiedBy>
  <cp:revision>7</cp:revision>
  <dcterms:created xsi:type="dcterms:W3CDTF">2019-04-28T09:01:00Z</dcterms:created>
  <dcterms:modified xsi:type="dcterms:W3CDTF">2019-05-06T06:42:00Z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