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0" w:firstLineChars="200"/>
        <w:rPr>
          <w:rFonts w:ascii="Arial" w:hAnsi="Arial" w:eastAsia="宋体" w:cs="宋体"/>
          <w:color w:val="FF0000"/>
          <w:sz w:val="24"/>
          <w:lang w:val="en-US"/>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ascii="Times New Roman" w:hAnsi="Times New Roman" w:eastAsia="宋体" w:cs="Times New Roman"/>
          <w:sz w:val="24"/>
          <w:szCs w:val="24"/>
        </w:rPr>
        <w:t>本</w:t>
      </w:r>
      <w:r>
        <w:rPr>
          <w:rFonts w:hint="eastAsia" w:ascii="Times New Roman" w:hAnsi="Times New Roman" w:eastAsia="宋体" w:cs="Times New Roman"/>
          <w:sz w:val="24"/>
          <w:szCs w:val="24"/>
          <w:lang w:eastAsia="zh-CN"/>
        </w:rPr>
        <w:t>实用新型</w:t>
      </w:r>
      <w:r>
        <w:rPr>
          <w:rFonts w:ascii="Times New Roman" w:hAnsi="Times New Roman" w:eastAsia="宋体" w:cs="Times New Roman"/>
          <w:sz w:val="24"/>
          <w:szCs w:val="24"/>
        </w:rPr>
        <w:t>提供了</w:t>
      </w:r>
      <w:r>
        <w:rPr>
          <w:rFonts w:hint="default" w:ascii="Times New Roman" w:hAnsi="Times New Roman" w:cs="Times New Roman"/>
          <w:sz w:val="24"/>
          <w:szCs w:val="24"/>
          <w:lang w:val="en-US" w:eastAsia="zh-CN"/>
        </w:rPr>
        <w:t>一种用于防塌性能评价的浸泡实验的岩心制备装置</w:t>
      </w:r>
      <w:r>
        <w:rPr>
          <w:rFonts w:hint="eastAsia" w:ascii="Times New Roman" w:hAnsi="Times New Roman" w:cs="Times New Roman"/>
          <w:sz w:val="24"/>
          <w:szCs w:val="24"/>
          <w:lang w:val="en-US" w:eastAsia="zh-CN"/>
        </w:rPr>
        <w:t>，包括压力系统、控制器和制备系统，其中增压系统包括增压机、加压管线和泄压管线，制备系统包括压岩室、压岩杆、岩心筒、载物台、底座、制热器与半导体制冷器，载物台为空心、阶梯形状，与底座配合可实现无需取样台即可实现岩心的制备与取样，制热器和半导体制冷器的配合使得实验可以在模拟地层的恒温条件下进行，与地层岩心的实际状态更加接近。</w:t>
      </w:r>
    </w:p>
    <w:p>
      <w:pPr>
        <w:spacing w:line="360" w:lineRule="auto"/>
        <w:rPr>
          <w:rFonts w:hint="eastAsia" w:ascii="Arial" w:hAnsi="Arial" w:eastAsia="宋体"/>
          <w:lang w:val="en-US" w:eastAsia="zh-CN"/>
        </w:rPr>
        <w:sectPr>
          <w:headerReference r:id="rId5" w:type="default"/>
          <w:type w:val="continuous"/>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spacing w:line="360" w:lineRule="auto"/>
        <w:rPr>
          <w:rFonts w:hint="eastAsia" w:ascii="Arial" w:hAnsi="Arial" w:eastAsia="宋体"/>
          <w:lang w:val="en-US" w:eastAsia="zh-CN"/>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r>
        <w:rPr>
          <w:rFonts w:hint="eastAsia" w:ascii="Arial" w:hAnsi="Arial" w:eastAsia="宋体"/>
          <w:lang w:val="en-US" w:eastAsia="zh-CN"/>
        </w:rPr>
        <w:t xml:space="preserve"> </w:t>
      </w:r>
      <w:r>
        <w:rPr>
          <w:rFonts w:hint="eastAsia" w:ascii="Arial" w:hAnsi="Arial" w:eastAsia="宋体"/>
          <w:lang w:eastAsia="zh-CN"/>
        </w:rPr>
        <w:drawing>
          <wp:inline distT="0" distB="0" distL="114300" distR="114300">
            <wp:extent cx="5266690" cy="3902075"/>
            <wp:effectExtent l="0" t="0" r="10160" b="3175"/>
            <wp:docPr id="9" name="图片 9" descr="岩心制备-M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岩心制备-Mdel"/>
                    <pic:cNvPicPr>
                      <a:picLocks noChangeAspect="1"/>
                    </pic:cNvPicPr>
                  </pic:nvPicPr>
                  <pic:blipFill>
                    <a:blip r:embed="rId14"/>
                    <a:srcRect t="40731"/>
                    <a:stretch>
                      <a:fillRect/>
                    </a:stretch>
                  </pic:blipFill>
                  <pic:spPr>
                    <a:xfrm>
                      <a:off x="0" y="0"/>
                      <a:ext cx="5266690" cy="3902075"/>
                    </a:xfrm>
                    <a:prstGeom prst="rect">
                      <a:avLst/>
                    </a:prstGeom>
                  </pic:spPr>
                </pic:pic>
              </a:graphicData>
            </a:graphic>
          </wp:inline>
        </w:drawing>
      </w:r>
    </w:p>
    <w:p>
      <w:pPr>
        <w:spacing w:line="360" w:lineRule="auto"/>
        <w:rPr>
          <w:rFonts w:ascii="Arial" w:hAnsi="Arial" w:eastAsia="宋体"/>
        </w:rPr>
      </w:pPr>
    </w:p>
    <w:p>
      <w:pPr>
        <w:rPr>
          <w:rFonts w:ascii="Arial" w:hAnsi="Arial" w:eastAsia="宋体"/>
        </w:rPr>
        <w:sectPr>
          <w:type w:val="continuous"/>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rPr>
          <w:rFonts w:hint="eastAsia" w:ascii="Arial" w:hAnsi="Arial" w:eastAsia="宋体"/>
          <w:lang w:eastAsia="zh-CN"/>
        </w:rPr>
      </w:pPr>
    </w:p>
    <w:p>
      <w:pPr>
        <w:rPr>
          <w:rFonts w:hint="eastAsia" w:ascii="Arial" w:hAnsi="Arial" w:eastAsia="宋体"/>
          <w:lang w:eastAsia="zh-CN"/>
        </w:rPr>
      </w:pPr>
    </w:p>
    <w:p>
      <w:pPr>
        <w:rPr>
          <w:rFonts w:hint="eastAsia" w:ascii="Arial" w:hAnsi="Arial" w:eastAsia="宋体"/>
          <w:lang w:eastAsia="zh-CN"/>
        </w:rPr>
      </w:pPr>
    </w:p>
    <w:p>
      <w:pPr>
        <w:rPr>
          <w:rFonts w:hint="eastAsia" w:ascii="Arial" w:hAnsi="Arial" w:eastAsia="宋体"/>
          <w:lang w:eastAsia="zh-CN"/>
        </w:rPr>
      </w:pPr>
    </w:p>
    <w:p>
      <w:pPr>
        <w:rPr>
          <w:rFonts w:hint="eastAsia" w:ascii="Arial" w:hAnsi="Arial" w:eastAsia="宋体"/>
          <w:lang w:eastAsia="zh-CN"/>
        </w:rPr>
      </w:pPr>
    </w:p>
    <w:p>
      <w:pPr>
        <w:rPr>
          <w:rFonts w:hint="eastAsia" w:ascii="Arial" w:hAnsi="Arial" w:eastAsia="宋体"/>
          <w:lang w:eastAsia="zh-CN"/>
        </w:rPr>
        <w:sectPr>
          <w:headerReference r:id="rId7" w:type="default"/>
          <w:type w:val="continuous"/>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numPr>
          <w:ilvl w:val="0"/>
          <w:numId w:val="1"/>
        </w:numPr>
        <w:spacing w:line="360" w:lineRule="auto"/>
        <w:ind w:firstLine="480" w:firstLineChars="200"/>
        <w:rPr>
          <w:rFonts w:hint="eastAsia" w:ascii="Arial" w:hAnsi="Arial" w:eastAsia="宋体"/>
          <w:sz w:val="24"/>
          <w:lang w:eastAsia="zh-CN"/>
        </w:rPr>
      </w:pPr>
      <w:r>
        <w:rPr>
          <w:rFonts w:hint="default" w:ascii="Times New Roman" w:hAnsi="Times New Roman" w:cs="Times New Roman"/>
          <w:sz w:val="24"/>
          <w:szCs w:val="24"/>
          <w:lang w:val="en-US" w:eastAsia="zh-CN"/>
        </w:rPr>
        <w:t>一种用于防塌性能评价的浸泡实验的岩心制备装置</w:t>
      </w:r>
      <w:r>
        <w:rPr>
          <w:rFonts w:hint="eastAsia" w:ascii="Times New Roman" w:hAnsi="Times New Roman" w:cs="Times New Roman"/>
          <w:b w:val="0"/>
          <w:bCs w:val="0"/>
          <w:sz w:val="24"/>
          <w:szCs w:val="24"/>
          <w:lang w:val="en-US" w:eastAsia="zh-CN"/>
        </w:rPr>
        <w:t>，包括压力系统、控制器和制备系统，所述压力系统包括增压机、加压管线</w:t>
      </w:r>
      <w:r>
        <w:rPr>
          <w:rFonts w:hint="eastAsia" w:ascii="Times New Roman" w:hAnsi="Times New Roman" w:cs="Times New Roman"/>
          <w:sz w:val="24"/>
          <w:szCs w:val="24"/>
          <w:lang w:val="en-US" w:eastAsia="zh-CN"/>
        </w:rPr>
        <w:t>和泄压管线，所述制备系统包括压岩室、压岩杆、岩心筒和载物台，所述加压管线上设有单向阀，所述泄压管线上设有阀门，所述增压机通过加压管线连接压岩室顶侧传压模块，所述传压模块与压岩杆连接，所述岩心筒内径与压岩杆直径相等，其特征在于，所述压岩室内从上到下依次为：传压模块、压岩杆、岩心筒、载物台和底座，所述载物台分为内、外两层且均为空心，所述外层的内径等于岩心筒外径，所述内层高度为外层高度的三分之一到五分之三，</w:t>
      </w:r>
      <w:r>
        <w:rPr>
          <w:rFonts w:hint="eastAsia" w:ascii="Times New Roman" w:hAnsi="Times New Roman" w:cs="Times New Roman"/>
          <w:b w:val="0"/>
          <w:bCs w:val="0"/>
          <w:sz w:val="24"/>
          <w:szCs w:val="24"/>
          <w:lang w:val="en-US" w:eastAsia="zh-CN"/>
        </w:rPr>
        <w:t>所述内层的外径等于岩心筒外径且内径大于岩心筒内径0.5mm-1mm，</w:t>
      </w:r>
      <w:r>
        <w:rPr>
          <w:rFonts w:hint="eastAsia" w:ascii="Times New Roman" w:hAnsi="Times New Roman" w:cs="Times New Roman"/>
          <w:sz w:val="24"/>
          <w:szCs w:val="24"/>
          <w:lang w:val="en-US" w:eastAsia="zh-CN"/>
        </w:rPr>
        <w:t>所述内层固定于外层内且两者底面重合</w:t>
      </w:r>
      <w:r>
        <w:rPr>
          <w:rFonts w:hint="eastAsia" w:ascii="Arial" w:hAnsi="Arial" w:eastAsia="宋体"/>
          <w:sz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Arial" w:hAnsi="Arial" w:eastAsia="宋体"/>
          <w:sz w:val="24"/>
          <w:lang w:eastAsia="zh-CN"/>
        </w:rPr>
      </w:pPr>
      <w:r>
        <w:rPr>
          <w:rFonts w:hint="eastAsia" w:ascii="Arial" w:hAnsi="Arial" w:eastAsia="宋体"/>
          <w:sz w:val="24"/>
          <w:lang w:eastAsia="zh-CN"/>
        </w:rPr>
        <w:t>所述底座设有圆柱形镜面柱，且底座底面和载物台底面形状和大小相同，所述镜面柱直径等于内层的内径，其高度等于内层高度，其上表面做镜面处理；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Arial" w:hAnsi="Arial" w:eastAsia="宋体"/>
          <w:sz w:val="24"/>
          <w:lang w:eastAsia="zh-CN"/>
        </w:rPr>
      </w:pPr>
      <w:r>
        <w:rPr>
          <w:rFonts w:hint="eastAsia" w:ascii="Arial" w:hAnsi="Arial" w:eastAsia="宋体"/>
          <w:sz w:val="24"/>
          <w:lang w:eastAsia="zh-CN"/>
        </w:rPr>
        <w:t>所述</w:t>
      </w:r>
      <w:r>
        <w:rPr>
          <w:rFonts w:hint="eastAsia" w:ascii="Times New Roman" w:hAnsi="Times New Roman" w:cs="Times New Roman"/>
          <w:sz w:val="24"/>
          <w:szCs w:val="24"/>
          <w:lang w:val="en-US" w:eastAsia="zh-CN"/>
        </w:rPr>
        <w:t>压岩室内设有制热器和半导体制冷器，岩心筒外表面设有温度传感器。</w:t>
      </w:r>
    </w:p>
    <w:p>
      <w:pPr>
        <w:numPr>
          <w:ilvl w:val="0"/>
          <w:numId w:val="1"/>
        </w:numPr>
        <w:spacing w:line="360" w:lineRule="auto"/>
        <w:ind w:firstLine="480" w:firstLineChars="200"/>
        <w:rPr>
          <w:rFonts w:ascii="Arial" w:hAnsi="Arial" w:eastAsia="宋体"/>
          <w:sz w:val="24"/>
        </w:rPr>
      </w:pPr>
      <w:r>
        <w:rPr>
          <w:rFonts w:hint="eastAsia" w:ascii="Times New Roman" w:hAnsi="Times New Roman" w:eastAsia="宋体" w:cs="Times New Roman"/>
          <w:sz w:val="24"/>
          <w:szCs w:val="24"/>
          <w:lang w:eastAsia="zh-CN"/>
        </w:rPr>
        <w:t>根据权利要求</w:t>
      </w:r>
      <w:r>
        <w:rPr>
          <w:rFonts w:hint="eastAsia" w:ascii="Times New Roman" w:hAnsi="Times New Roman" w:eastAsia="宋体" w:cs="Times New Roman"/>
          <w:sz w:val="24"/>
          <w:szCs w:val="24"/>
          <w:lang w:val="en-US" w:eastAsia="zh-CN"/>
        </w:rPr>
        <w:t>1所述的</w:t>
      </w:r>
      <w:r>
        <w:rPr>
          <w:rFonts w:hint="default" w:ascii="Times New Roman" w:hAnsi="Times New Roman" w:cs="Times New Roman"/>
          <w:sz w:val="24"/>
          <w:szCs w:val="24"/>
          <w:lang w:val="en-US" w:eastAsia="zh-CN"/>
        </w:rPr>
        <w:t>一种用于防塌性能评价的浸泡实验的岩心制备装置</w:t>
      </w:r>
      <w:r>
        <w:rPr>
          <w:rFonts w:hint="eastAsia" w:ascii="Times New Roman" w:hAnsi="Times New Roman" w:cs="Times New Roman"/>
          <w:sz w:val="24"/>
          <w:szCs w:val="24"/>
          <w:lang w:val="en-US" w:eastAsia="zh-CN"/>
        </w:rPr>
        <w:t>，其特征在于，所述压岩室内设有2-4套传动块、压岩杆、岩心筒、载物台和底座及相关附属设备，加压管线在经过单向阀后设有相同数量的分支管道</w:t>
      </w:r>
      <w:r>
        <w:rPr>
          <w:rFonts w:hint="eastAsia" w:ascii="Times New Roman" w:hAnsi="Times New Roman" w:eastAsia="宋体" w:cs="Times New Roman"/>
          <w:sz w:val="24"/>
          <w:szCs w:val="24"/>
          <w:lang w:eastAsia="zh-CN"/>
        </w:rPr>
        <w:t>。</w:t>
      </w:r>
    </w:p>
    <w:p>
      <w:pPr>
        <w:numPr>
          <w:ilvl w:val="0"/>
          <w:numId w:val="1"/>
        </w:numPr>
        <w:spacing w:line="360" w:lineRule="auto"/>
        <w:ind w:firstLine="480" w:firstLineChars="200"/>
        <w:rPr>
          <w:rFonts w:ascii="Arial" w:hAnsi="Arial" w:eastAsia="宋体"/>
          <w:sz w:val="24"/>
        </w:rPr>
      </w:pPr>
      <w:r>
        <w:rPr>
          <w:rFonts w:hint="eastAsia" w:ascii="Times New Roman" w:hAnsi="Times New Roman" w:eastAsia="宋体" w:cs="Times New Roman"/>
          <w:sz w:val="24"/>
          <w:szCs w:val="24"/>
          <w:lang w:eastAsia="zh-CN"/>
        </w:rPr>
        <w:t>根据权利要求</w:t>
      </w:r>
      <w:r>
        <w:rPr>
          <w:rFonts w:hint="eastAsia" w:ascii="Times New Roman" w:hAnsi="Times New Roman" w:eastAsia="宋体" w:cs="Times New Roman"/>
          <w:sz w:val="24"/>
          <w:szCs w:val="24"/>
          <w:lang w:val="en-US" w:eastAsia="zh-CN"/>
        </w:rPr>
        <w:t>2所述的</w:t>
      </w:r>
      <w:r>
        <w:rPr>
          <w:rFonts w:hint="default" w:ascii="Times New Roman" w:hAnsi="Times New Roman" w:cs="Times New Roman"/>
          <w:sz w:val="24"/>
          <w:szCs w:val="24"/>
          <w:lang w:val="en-US" w:eastAsia="zh-CN"/>
        </w:rPr>
        <w:t>一种用于防塌性能评价的浸泡实验的岩心制备装置</w:t>
      </w:r>
      <w:r>
        <w:rPr>
          <w:rFonts w:hint="eastAsia" w:ascii="Times New Roman" w:hAnsi="Times New Roman" w:cs="Times New Roman"/>
          <w:sz w:val="24"/>
          <w:szCs w:val="24"/>
          <w:lang w:val="en-US" w:eastAsia="zh-CN"/>
        </w:rPr>
        <w:t>，其特征在于，所述增压机出口与单向阀之间设有压力表，所述每条分支管道上均设有压力表。</w:t>
      </w:r>
    </w:p>
    <w:p>
      <w:pPr>
        <w:numPr>
          <w:ilvl w:val="0"/>
          <w:numId w:val="1"/>
        </w:numPr>
        <w:spacing w:line="360" w:lineRule="auto"/>
        <w:ind w:firstLine="480" w:firstLineChars="200"/>
        <w:rPr>
          <w:rFonts w:ascii="Arial" w:hAnsi="Arial" w:eastAsia="宋体"/>
          <w:sz w:val="24"/>
        </w:rPr>
      </w:pPr>
      <w:r>
        <w:rPr>
          <w:rFonts w:hint="eastAsia" w:ascii="Times New Roman" w:hAnsi="Times New Roman" w:eastAsia="宋体" w:cs="Times New Roman"/>
          <w:sz w:val="24"/>
          <w:szCs w:val="24"/>
          <w:lang w:eastAsia="zh-CN"/>
        </w:rPr>
        <w:t>根据权利要求</w:t>
      </w:r>
      <w:r>
        <w:rPr>
          <w:rFonts w:hint="eastAsia" w:ascii="Times New Roman" w:hAnsi="Times New Roman" w:eastAsia="宋体" w:cs="Times New Roman"/>
          <w:sz w:val="24"/>
          <w:szCs w:val="24"/>
          <w:lang w:val="en-US" w:eastAsia="zh-CN"/>
        </w:rPr>
        <w:t>1-3任一所述的</w:t>
      </w:r>
      <w:r>
        <w:rPr>
          <w:rFonts w:hint="default" w:ascii="Times New Roman" w:hAnsi="Times New Roman" w:cs="Times New Roman"/>
          <w:sz w:val="24"/>
          <w:szCs w:val="24"/>
          <w:lang w:val="en-US" w:eastAsia="zh-CN"/>
        </w:rPr>
        <w:t>一种用于防塌性能评价的浸泡实验的岩心制备装置</w:t>
      </w:r>
      <w:r>
        <w:rPr>
          <w:rFonts w:hint="eastAsia" w:ascii="Times New Roman" w:hAnsi="Times New Roman" w:cs="Times New Roman"/>
          <w:sz w:val="24"/>
          <w:szCs w:val="24"/>
          <w:lang w:val="en-US" w:eastAsia="zh-CN"/>
        </w:rPr>
        <w:t>，其特征在于，所述增压机、压力表、温度传感器、制热器与半导体制冷器均与控制器电连接。</w:t>
      </w:r>
    </w:p>
    <w:p>
      <w:pPr>
        <w:numPr>
          <w:ilvl w:val="0"/>
          <w:numId w:val="1"/>
        </w:numPr>
        <w:spacing w:line="360" w:lineRule="auto"/>
        <w:ind w:firstLine="480" w:firstLineChars="200"/>
        <w:rPr>
          <w:rFonts w:ascii="Arial" w:hAnsi="Arial" w:eastAsia="宋体"/>
          <w:sz w:val="24"/>
        </w:rPr>
      </w:pPr>
      <w:r>
        <w:rPr>
          <w:rFonts w:hint="eastAsia" w:ascii="Times New Roman" w:hAnsi="Times New Roman" w:eastAsia="宋体" w:cs="Times New Roman"/>
          <w:sz w:val="24"/>
          <w:szCs w:val="24"/>
          <w:lang w:eastAsia="zh-CN"/>
        </w:rPr>
        <w:t>根据权利要求</w:t>
      </w:r>
      <w:r>
        <w:rPr>
          <w:rFonts w:hint="eastAsia" w:ascii="Times New Roman" w:hAnsi="Times New Roman" w:eastAsia="宋体" w:cs="Times New Roman"/>
          <w:sz w:val="24"/>
          <w:szCs w:val="24"/>
          <w:lang w:val="en-US" w:eastAsia="zh-CN"/>
        </w:rPr>
        <w:t>1所述的</w:t>
      </w:r>
      <w:r>
        <w:rPr>
          <w:rFonts w:hint="default" w:ascii="Times New Roman" w:hAnsi="Times New Roman" w:cs="Times New Roman"/>
          <w:sz w:val="24"/>
          <w:szCs w:val="24"/>
          <w:lang w:val="en-US" w:eastAsia="zh-CN"/>
        </w:rPr>
        <w:t>一种用于防塌性能评价的浸泡实验的岩心制备装置</w:t>
      </w:r>
      <w:r>
        <w:rPr>
          <w:rFonts w:hint="eastAsia" w:ascii="Times New Roman" w:hAnsi="Times New Roman" w:cs="Times New Roman"/>
          <w:sz w:val="24"/>
          <w:szCs w:val="24"/>
          <w:lang w:val="en-US" w:eastAsia="zh-CN"/>
        </w:rPr>
        <w:t>，其特征在于，所述压岩室下侧内表面设有凹陷的安装槽，其大小和形状均与底座底面相同。</w:t>
      </w:r>
    </w:p>
    <w:p>
      <w:pPr>
        <w:widowControl w:val="0"/>
        <w:numPr>
          <w:ilvl w:val="0"/>
          <w:numId w:val="0"/>
        </w:numPr>
        <w:spacing w:line="360" w:lineRule="auto"/>
        <w:jc w:val="both"/>
        <w:rPr>
          <w:rFonts w:ascii="Arial" w:hAnsi="Arial" w:eastAsia="宋体"/>
          <w:sz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Arial" w:hAnsi="Arial" w:eastAsia="宋体"/>
          <w:sz w:val="24"/>
          <w:lang w:eastAsia="zh-CN"/>
        </w:rPr>
        <w:sectPr>
          <w:headerReference r:id="rId8" w:type="default"/>
          <w:footerReference r:id="rId9"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spacing w:line="440" w:lineRule="exact"/>
        <w:ind w:firstLine="0" w:firstLineChars="0"/>
        <w:jc w:val="center"/>
        <w:rPr>
          <w:rFonts w:cs="Times New Roman"/>
          <w:b/>
          <w:sz w:val="32"/>
          <w:szCs w:val="32"/>
        </w:rPr>
      </w:pPr>
      <w:r>
        <w:rPr>
          <w:rFonts w:hint="default" w:cs="Times New Roman"/>
          <w:b/>
          <w:bCs w:val="0"/>
          <w:sz w:val="24"/>
          <w:szCs w:val="24"/>
          <w:lang w:val="en-US" w:eastAsia="zh-CN"/>
        </w:rPr>
        <w:t>一种用于防塌性能评价的浸泡实验的岩心制备装置</w:t>
      </w:r>
    </w:p>
    <w:p>
      <w:pPr>
        <w:spacing w:line="440" w:lineRule="exact"/>
        <w:ind w:firstLine="0" w:firstLineChars="0"/>
        <w:rPr>
          <w:rFonts w:hint="eastAsia" w:ascii="宋体" w:hAnsi="宋体" w:eastAsia="宋体" w:cs="宋体"/>
          <w:b/>
          <w:sz w:val="24"/>
          <w:szCs w:val="24"/>
        </w:rPr>
      </w:pPr>
      <w:r>
        <w:rPr>
          <w:rFonts w:hint="eastAsia" w:ascii="宋体" w:hAnsi="宋体" w:eastAsia="宋体" w:cs="宋体"/>
          <w:b/>
          <w:sz w:val="24"/>
          <w:szCs w:val="24"/>
        </w:rPr>
        <w:t>技术领域</w:t>
      </w:r>
    </w:p>
    <w:p>
      <w:pPr>
        <w:spacing w:line="440" w:lineRule="exact"/>
        <w:ind w:firstLine="480"/>
        <w:rPr>
          <w:rFonts w:hint="eastAsia" w:ascii="宋体" w:hAnsi="宋体" w:eastAsia="宋体" w:cs="宋体"/>
          <w:sz w:val="24"/>
          <w:szCs w:val="24"/>
        </w:rPr>
      </w:pPr>
      <w:r>
        <w:rPr>
          <w:rFonts w:hint="eastAsia" w:ascii="宋体" w:hAnsi="宋体" w:eastAsia="宋体" w:cs="宋体"/>
          <w:sz w:val="24"/>
          <w:szCs w:val="24"/>
        </w:rPr>
        <w:t>本</w:t>
      </w:r>
      <w:r>
        <w:rPr>
          <w:rFonts w:hint="eastAsia" w:ascii="宋体" w:hAnsi="宋体" w:eastAsia="宋体" w:cs="宋体"/>
          <w:sz w:val="24"/>
          <w:szCs w:val="24"/>
          <w:lang w:eastAsia="zh-CN"/>
        </w:rPr>
        <w:t>实用新型</w:t>
      </w:r>
      <w:r>
        <w:rPr>
          <w:rFonts w:hint="eastAsia" w:ascii="宋体" w:hAnsi="宋体" w:eastAsia="宋体" w:cs="宋体"/>
          <w:sz w:val="24"/>
          <w:szCs w:val="24"/>
        </w:rPr>
        <w:t>属于</w:t>
      </w:r>
      <w:r>
        <w:rPr>
          <w:rFonts w:hint="eastAsia" w:ascii="宋体" w:hAnsi="宋体" w:eastAsia="宋体" w:cs="宋体"/>
          <w:sz w:val="24"/>
          <w:szCs w:val="24"/>
          <w:lang w:eastAsia="zh-CN"/>
        </w:rPr>
        <w:t>人造岩心</w:t>
      </w:r>
      <w:r>
        <w:rPr>
          <w:rFonts w:hint="eastAsia" w:ascii="宋体" w:hAnsi="宋体" w:eastAsia="宋体" w:cs="宋体"/>
          <w:sz w:val="24"/>
          <w:szCs w:val="24"/>
        </w:rPr>
        <w:t>技术领域，涉及</w:t>
      </w:r>
      <w:r>
        <w:rPr>
          <w:rFonts w:hint="default" w:ascii="Times New Roman" w:hAnsi="Times New Roman" w:cs="Times New Roman"/>
          <w:sz w:val="24"/>
          <w:szCs w:val="24"/>
          <w:lang w:val="en-US" w:eastAsia="zh-CN"/>
        </w:rPr>
        <w:t>一种用于防塌性能评价的浸泡实验的岩心制备装置</w:t>
      </w:r>
      <w:r>
        <w:rPr>
          <w:rFonts w:hint="eastAsia" w:ascii="宋体" w:hAnsi="宋体" w:eastAsia="宋体" w:cs="宋体"/>
          <w:sz w:val="24"/>
          <w:szCs w:val="24"/>
        </w:rPr>
        <w:t>。</w:t>
      </w:r>
    </w:p>
    <w:p>
      <w:pPr>
        <w:spacing w:line="440" w:lineRule="exact"/>
        <w:ind w:firstLine="0" w:firstLineChars="0"/>
        <w:rPr>
          <w:rFonts w:hint="eastAsia" w:ascii="宋体" w:hAnsi="宋体" w:eastAsia="宋体" w:cs="宋体"/>
          <w:b/>
          <w:sz w:val="24"/>
          <w:szCs w:val="24"/>
        </w:rPr>
      </w:pPr>
      <w:r>
        <w:rPr>
          <w:rFonts w:hint="eastAsia" w:ascii="宋体" w:hAnsi="宋体" w:eastAsia="宋体" w:cs="宋体"/>
          <w:b/>
          <w:sz w:val="24"/>
          <w:szCs w:val="24"/>
        </w:rPr>
        <w:t>背景技术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随着社会对清洁能源需求不断扩大，页岩气逐渐成为了一种商业化的绿色能源，因此，页岩气的开采也成为了科学家们研究的主要问题。常规的页岩气开采主要使用油基钻井液，油基钻井液能有效解决页岩气水平井的井壁失稳和高摩阻问题，但是随着我国对环保的要求日益严格，许多位于环境敏感和人口密集区域的油气藏采用传统油基钻井液设计已经无法满足国家未来的环境要求，因此水基钻井液代替油基钻井液成为了一种发展趋势。水基钻井液环保性好，但是其抑制性差，容易造成井壁失稳，因此环保型</w:t>
      </w:r>
      <w:bookmarkStart w:id="0" w:name="_GoBack"/>
      <w:bookmarkEnd w:id="0"/>
      <w:r>
        <w:rPr>
          <w:rFonts w:hint="default" w:ascii="Times New Roman" w:hAnsi="Times New Roman" w:cs="Times New Roman"/>
          <w:sz w:val="24"/>
          <w:szCs w:val="24"/>
          <w:lang w:val="en-US" w:eastAsia="zh-CN"/>
        </w:rPr>
        <w:t>水基钻井液的核心之处就是研发环保型防塌剂。</w:t>
      </w:r>
    </w:p>
    <w:p>
      <w:pPr>
        <w:spacing w:line="440" w:lineRule="exact"/>
        <w:ind w:firstLine="480"/>
        <w:rPr>
          <w:rFonts w:hint="eastAsia" w:ascii="宋体" w:hAnsi="宋体" w:eastAsia="宋体" w:cs="宋体"/>
          <w:sz w:val="24"/>
          <w:szCs w:val="24"/>
          <w:lang w:val="en-US" w:eastAsia="zh-CN"/>
        </w:rPr>
      </w:pPr>
      <w:r>
        <w:rPr>
          <w:rFonts w:hint="default" w:ascii="Times New Roman" w:hAnsi="Times New Roman" w:cs="Times New Roman"/>
          <w:sz w:val="24"/>
          <w:szCs w:val="24"/>
          <w:lang w:val="en-US" w:eastAsia="zh-CN"/>
        </w:rPr>
        <w:t>防塌剂的性能评价最常采用的方法是浸泡实验，浸泡实验是通过溶液对岩心浸泡来观察他的岩心变化，由于使用天然页岩和泥页岩岩样进行浸泡实验时，效果不是非常的明显，并且成本较贵，</w:t>
      </w:r>
      <w:r>
        <w:rPr>
          <w:rFonts w:hint="eastAsia" w:ascii="Times New Roman" w:hAnsi="Times New Roman" w:cs="Times New Roman"/>
          <w:sz w:val="24"/>
          <w:szCs w:val="24"/>
          <w:lang w:val="en-US" w:eastAsia="zh-CN"/>
        </w:rPr>
        <w:t>一般</w:t>
      </w:r>
      <w:r>
        <w:rPr>
          <w:rFonts w:hint="default" w:ascii="Times New Roman" w:hAnsi="Times New Roman" w:cs="Times New Roman"/>
          <w:sz w:val="24"/>
          <w:szCs w:val="24"/>
          <w:lang w:val="en-US" w:eastAsia="zh-CN"/>
        </w:rPr>
        <w:t>选用人造岩样</w:t>
      </w:r>
      <w:r>
        <w:rPr>
          <w:rFonts w:hint="eastAsia" w:ascii="Times New Roman" w:hAnsi="Times New Roman" w:cs="Times New Roman"/>
          <w:sz w:val="24"/>
          <w:szCs w:val="24"/>
          <w:lang w:val="en-US" w:eastAsia="zh-CN"/>
        </w:rPr>
        <w:t>来进行浸泡实验</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地层每降低100m，温度升高3.7℃，而</w:t>
      </w:r>
      <w:r>
        <w:rPr>
          <w:rFonts w:hint="eastAsia" w:ascii="宋体" w:hAnsi="宋体" w:eastAsia="宋体" w:cs="宋体"/>
          <w:sz w:val="24"/>
          <w:szCs w:val="24"/>
          <w:lang w:eastAsia="zh-CN"/>
        </w:rPr>
        <w:t>现有的</w:t>
      </w:r>
      <w:r>
        <w:rPr>
          <w:rFonts w:hint="eastAsia" w:ascii="Times New Roman" w:hAnsi="Times New Roman" w:cs="Times New Roman"/>
          <w:sz w:val="24"/>
          <w:szCs w:val="24"/>
          <w:lang w:val="en-US" w:eastAsia="zh-CN"/>
        </w:rPr>
        <w:t>岩心制备仪在制备岩样时</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未考虑实际底层中地层温度对岩石形成的影响；同时现有岩心制备仪在取出岩样时，需更换底座，较为繁琐</w:t>
      </w:r>
      <w:r>
        <w:rPr>
          <w:rFonts w:hint="eastAsia" w:ascii="宋体" w:hAnsi="宋体" w:eastAsia="宋体" w:cs="宋体"/>
          <w:sz w:val="24"/>
          <w:szCs w:val="24"/>
          <w:lang w:eastAsia="zh-CN"/>
        </w:rPr>
        <w:t>。</w:t>
      </w:r>
    </w:p>
    <w:p>
      <w:pPr>
        <w:spacing w:line="440" w:lineRule="exact"/>
        <w:ind w:firstLine="0" w:firstLineChars="0"/>
        <w:rPr>
          <w:rFonts w:hint="eastAsia" w:ascii="宋体" w:hAnsi="宋体" w:eastAsia="宋体" w:cs="宋体"/>
          <w:b/>
          <w:sz w:val="24"/>
          <w:szCs w:val="24"/>
        </w:rPr>
      </w:pPr>
      <w:r>
        <w:rPr>
          <w:rFonts w:hint="eastAsia" w:ascii="宋体" w:hAnsi="宋体" w:eastAsia="宋体" w:cs="宋体"/>
          <w:b/>
          <w:sz w:val="24"/>
          <w:szCs w:val="24"/>
          <w:lang w:eastAsia="zh-CN"/>
        </w:rPr>
        <w:t>实用新型</w:t>
      </w:r>
      <w:r>
        <w:rPr>
          <w:rFonts w:hint="eastAsia" w:ascii="宋体" w:hAnsi="宋体" w:eastAsia="宋体" w:cs="宋体"/>
          <w:b/>
          <w:sz w:val="24"/>
          <w:szCs w:val="24"/>
        </w:rPr>
        <w:t>内容</w:t>
      </w:r>
    </w:p>
    <w:p>
      <w:pPr>
        <w:spacing w:line="440" w:lineRule="exact"/>
        <w:ind w:firstLine="480"/>
        <w:rPr>
          <w:rFonts w:hint="eastAsia" w:ascii="宋体" w:hAnsi="宋体" w:eastAsia="宋体" w:cs="宋体"/>
          <w:sz w:val="24"/>
          <w:szCs w:val="24"/>
        </w:rPr>
      </w:pPr>
      <w:r>
        <w:rPr>
          <w:rFonts w:hint="eastAsia" w:ascii="宋体" w:hAnsi="宋体" w:eastAsia="宋体" w:cs="宋体"/>
          <w:sz w:val="24"/>
          <w:szCs w:val="24"/>
        </w:rPr>
        <w:t>为了解决上述技术问题，本</w:t>
      </w:r>
      <w:r>
        <w:rPr>
          <w:rFonts w:hint="eastAsia" w:ascii="宋体" w:hAnsi="宋体" w:eastAsia="宋体" w:cs="宋体"/>
          <w:sz w:val="24"/>
          <w:szCs w:val="24"/>
          <w:lang w:eastAsia="zh-CN"/>
        </w:rPr>
        <w:t>实用新型</w:t>
      </w:r>
      <w:r>
        <w:rPr>
          <w:rFonts w:hint="eastAsia" w:ascii="宋体" w:hAnsi="宋体" w:eastAsia="宋体" w:cs="宋体"/>
          <w:sz w:val="24"/>
          <w:szCs w:val="24"/>
        </w:rPr>
        <w:t>提供了</w:t>
      </w:r>
      <w:r>
        <w:rPr>
          <w:rFonts w:hint="default" w:ascii="Times New Roman" w:hAnsi="Times New Roman" w:cs="Times New Roman"/>
          <w:sz w:val="24"/>
          <w:szCs w:val="24"/>
          <w:lang w:val="en-US" w:eastAsia="zh-CN"/>
        </w:rPr>
        <w:t>一种用于防塌性能评价的浸泡实验的岩心制备装置</w:t>
      </w:r>
      <w:r>
        <w:rPr>
          <w:rFonts w:hint="eastAsia" w:ascii="宋体" w:hAnsi="宋体" w:eastAsia="宋体" w:cs="宋体"/>
          <w:sz w:val="24"/>
          <w:szCs w:val="24"/>
        </w:rPr>
        <w:t>，</w:t>
      </w:r>
      <w:r>
        <w:rPr>
          <w:rFonts w:hint="eastAsia" w:ascii="宋体" w:hAnsi="宋体" w:eastAsia="宋体" w:cs="宋体"/>
          <w:sz w:val="24"/>
          <w:szCs w:val="24"/>
          <w:lang w:eastAsia="zh-CN"/>
        </w:rPr>
        <w:t>制热器与半导体制冷器</w:t>
      </w:r>
      <w:r>
        <w:rPr>
          <w:rFonts w:hint="eastAsia" w:ascii="宋体" w:hAnsi="宋体" w:eastAsia="宋体" w:cs="宋体"/>
          <w:sz w:val="24"/>
          <w:szCs w:val="24"/>
        </w:rPr>
        <w:t>，</w:t>
      </w:r>
      <w:r>
        <w:rPr>
          <w:rFonts w:hint="eastAsia" w:ascii="宋体" w:hAnsi="宋体" w:eastAsia="宋体" w:cs="宋体"/>
          <w:sz w:val="24"/>
          <w:szCs w:val="24"/>
          <w:lang w:eastAsia="zh-CN"/>
        </w:rPr>
        <w:t>达成了制备岩样时温度可控的目的，通过设置阶梯状载物台和底座，达成了无需更换载物台即可取样的目的</w:t>
      </w:r>
      <w:r>
        <w:rPr>
          <w:rFonts w:hint="eastAsia" w:ascii="宋体" w:hAnsi="宋体" w:eastAsia="宋体" w:cs="宋体"/>
          <w:sz w:val="24"/>
          <w:szCs w:val="24"/>
        </w:rPr>
        <w:t>。</w:t>
      </w:r>
    </w:p>
    <w:p>
      <w:pPr>
        <w:spacing w:line="440" w:lineRule="exact"/>
        <w:ind w:firstLine="480"/>
        <w:rPr>
          <w:rFonts w:hint="eastAsia" w:ascii="宋体" w:hAnsi="宋体" w:eastAsia="宋体" w:cs="宋体"/>
          <w:sz w:val="24"/>
          <w:szCs w:val="24"/>
        </w:rPr>
      </w:pPr>
      <w:r>
        <w:rPr>
          <w:rFonts w:hint="eastAsia" w:ascii="宋体" w:hAnsi="宋体" w:eastAsia="宋体" w:cs="宋体"/>
          <w:sz w:val="24"/>
          <w:szCs w:val="24"/>
        </w:rPr>
        <w:t>本</w:t>
      </w:r>
      <w:r>
        <w:rPr>
          <w:rFonts w:hint="eastAsia" w:ascii="宋体" w:hAnsi="宋体" w:eastAsia="宋体" w:cs="宋体"/>
          <w:sz w:val="24"/>
          <w:szCs w:val="24"/>
          <w:lang w:eastAsia="zh-CN"/>
        </w:rPr>
        <w:t>实用新型</w:t>
      </w:r>
      <w:r>
        <w:rPr>
          <w:rFonts w:hint="eastAsia" w:ascii="宋体" w:hAnsi="宋体" w:eastAsia="宋体" w:cs="宋体"/>
          <w:sz w:val="24"/>
          <w:szCs w:val="24"/>
        </w:rPr>
        <w:t>所采用的技术方案是：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Arial" w:hAnsi="Arial" w:eastAsia="宋体"/>
          <w:sz w:val="24"/>
          <w:lang w:eastAsia="zh-CN"/>
        </w:rPr>
      </w:pPr>
      <w:r>
        <w:rPr>
          <w:rFonts w:hint="default" w:ascii="Times New Roman" w:hAnsi="Times New Roman" w:cs="Times New Roman"/>
          <w:sz w:val="24"/>
          <w:szCs w:val="24"/>
          <w:lang w:val="en-US" w:eastAsia="zh-CN"/>
        </w:rPr>
        <w:t>一种用于防塌性能评价的浸泡实验的</w:t>
      </w:r>
      <w:r>
        <w:rPr>
          <w:rFonts w:hint="default" w:ascii="Times New Roman" w:hAnsi="Times New Roman" w:cs="Times New Roman"/>
          <w:b w:val="0"/>
          <w:bCs w:val="0"/>
          <w:sz w:val="24"/>
          <w:szCs w:val="24"/>
          <w:lang w:val="en-US" w:eastAsia="zh-CN"/>
        </w:rPr>
        <w:t>岩心制备装置</w:t>
      </w:r>
      <w:r>
        <w:rPr>
          <w:rFonts w:hint="eastAsia" w:ascii="Times New Roman" w:hAnsi="Times New Roman" w:cs="Times New Roman"/>
          <w:b w:val="0"/>
          <w:bCs w:val="0"/>
          <w:sz w:val="24"/>
          <w:szCs w:val="24"/>
          <w:lang w:val="en-US" w:eastAsia="zh-CN"/>
        </w:rPr>
        <w:t>，包括压力系统、控制器和制备系统，所述压力系统包括增压机、加压管线和泄压管线，所述制备系统包括压岩室、压岩杆、岩心筒和载物台，所</w:t>
      </w:r>
      <w:r>
        <w:rPr>
          <w:rFonts w:hint="eastAsia" w:ascii="Times New Roman" w:hAnsi="Times New Roman" w:cs="Times New Roman"/>
          <w:sz w:val="24"/>
          <w:szCs w:val="24"/>
          <w:lang w:val="en-US" w:eastAsia="zh-CN"/>
        </w:rPr>
        <w:t>述</w:t>
      </w:r>
      <w:r>
        <w:rPr>
          <w:rFonts w:hint="eastAsia" w:ascii="Times New Roman" w:hAnsi="Times New Roman" w:cs="Times New Roman"/>
          <w:b w:val="0"/>
          <w:bCs w:val="0"/>
          <w:sz w:val="24"/>
          <w:szCs w:val="24"/>
          <w:lang w:val="en-US" w:eastAsia="zh-CN"/>
        </w:rPr>
        <w:t>加压管线上设有单向阀，所述泄压管线上设有阀门，所述增压机通过加压管线连接压岩</w:t>
      </w:r>
      <w:r>
        <w:rPr>
          <w:rFonts w:hint="eastAsia" w:ascii="Times New Roman" w:hAnsi="Times New Roman" w:cs="Times New Roman"/>
          <w:sz w:val="24"/>
          <w:szCs w:val="24"/>
          <w:lang w:val="en-US" w:eastAsia="zh-CN"/>
        </w:rPr>
        <w:t>室顶侧传压模块，所述传压模块与压岩杆连接，所述岩心筒内径与压岩杆直径相等，所述压岩室内从上到下依次为：传压模块、压岩杆、岩心筒、载物台和底座，所述载物台分为内、外两层且均为空心，所述外层的内径等于岩心筒外径，所述内层高度为外层高度的三分之一到五分之三，</w:t>
      </w:r>
      <w:r>
        <w:rPr>
          <w:rFonts w:hint="eastAsia" w:ascii="Times New Roman" w:hAnsi="Times New Roman" w:cs="Times New Roman"/>
          <w:b w:val="0"/>
          <w:bCs w:val="0"/>
          <w:sz w:val="24"/>
          <w:szCs w:val="24"/>
          <w:lang w:val="en-US" w:eastAsia="zh-CN"/>
        </w:rPr>
        <w:t>内层的外径等于岩心筒外径、且内径大于岩心筒内径0.5mm-1mm，</w:t>
      </w:r>
      <w:r>
        <w:rPr>
          <w:rFonts w:hint="eastAsia" w:ascii="Times New Roman" w:hAnsi="Times New Roman" w:cs="Times New Roman"/>
          <w:sz w:val="24"/>
          <w:szCs w:val="24"/>
          <w:lang w:val="en-US" w:eastAsia="zh-CN"/>
        </w:rPr>
        <w:t>所述内层固定于外层内且两者底面重合，</w:t>
      </w:r>
      <w:r>
        <w:rPr>
          <w:rFonts w:hint="eastAsia" w:ascii="Arial" w:hAnsi="Arial" w:eastAsia="宋体"/>
          <w:sz w:val="24"/>
          <w:lang w:eastAsia="zh-CN"/>
        </w:rPr>
        <w:t>所述底座设有圆柱形镜面柱，且底座底面和载物台底面形状和大小相同，所述镜面柱直径等于内层的内径，其高度等于内层高度，镜面柱上表面做镜面处理；载物台和底座的设计</w:t>
      </w:r>
      <w:r>
        <w:rPr>
          <w:rFonts w:hint="eastAsia" w:ascii="Arial" w:hAnsi="Arial" w:eastAsia="宋体"/>
          <w:b w:val="0"/>
          <w:bCs w:val="0"/>
          <w:sz w:val="24"/>
          <w:lang w:eastAsia="zh-CN"/>
        </w:rPr>
        <w:t>，保证了加压制备岩心时岩心筒的稳定，镜面</w:t>
      </w:r>
      <w:r>
        <w:rPr>
          <w:rFonts w:hint="eastAsia" w:ascii="Arial" w:hAnsi="Arial" w:eastAsia="宋体"/>
          <w:sz w:val="24"/>
          <w:lang w:eastAsia="zh-CN"/>
        </w:rPr>
        <w:t>处理的镜面柱使得岩心不会与其粘结，在取样时底座也能够顺利取下。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Arial" w:hAnsi="Arial" w:eastAsia="宋体"/>
          <w:sz w:val="24"/>
          <w:lang w:eastAsia="zh-CN"/>
        </w:rPr>
      </w:pPr>
      <w:r>
        <w:rPr>
          <w:rFonts w:hint="eastAsia" w:ascii="Times New Roman" w:hAnsi="Times New Roman" w:eastAsia="宋体" w:cs="Times New Roman"/>
          <w:sz w:val="24"/>
          <w:szCs w:val="24"/>
          <w:lang w:eastAsia="zh-CN"/>
        </w:rPr>
        <w:t>进一步的</w:t>
      </w:r>
      <w:r>
        <w:rPr>
          <w:rFonts w:hint="eastAsia" w:ascii="Times New Roman" w:hAnsi="Times New Roman" w:cs="Times New Roman"/>
          <w:sz w:val="24"/>
          <w:szCs w:val="24"/>
          <w:lang w:val="en-US" w:eastAsia="zh-CN"/>
        </w:rPr>
        <w:t>，</w:t>
      </w:r>
      <w:r>
        <w:rPr>
          <w:rFonts w:hint="eastAsia" w:ascii="Arial" w:hAnsi="Arial" w:eastAsia="宋体"/>
          <w:sz w:val="24"/>
          <w:lang w:eastAsia="zh-CN"/>
        </w:rPr>
        <w:t>所述</w:t>
      </w:r>
      <w:r>
        <w:rPr>
          <w:rFonts w:hint="eastAsia" w:ascii="Times New Roman" w:hAnsi="Times New Roman" w:cs="Times New Roman"/>
          <w:sz w:val="24"/>
          <w:szCs w:val="24"/>
          <w:lang w:val="en-US" w:eastAsia="zh-CN"/>
        </w:rPr>
        <w:t>压岩室内设有制热器和半导体制冷器，用于调节压岩室内的温度，因制样过程中由于高压力以及摩擦，岩心及岩心筒会产生热量，因此简单的制热器，缺乏冷却降温功能，不能满足压岩室的控温要求，岩心筒外表面设有温度传感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Arial" w:hAnsi="Arial" w:eastAsia="宋体"/>
          <w:sz w:val="24"/>
        </w:rPr>
      </w:pPr>
      <w:r>
        <w:rPr>
          <w:rFonts w:hint="eastAsia" w:ascii="Times New Roman" w:hAnsi="Times New Roman" w:eastAsia="宋体" w:cs="Times New Roman"/>
          <w:sz w:val="24"/>
          <w:szCs w:val="24"/>
          <w:lang w:eastAsia="zh-CN"/>
        </w:rPr>
        <w:t>进一步的</w:t>
      </w:r>
      <w:r>
        <w:rPr>
          <w:rFonts w:hint="eastAsia" w:ascii="Times New Roman" w:hAnsi="Times New Roman" w:cs="Times New Roman"/>
          <w:sz w:val="24"/>
          <w:szCs w:val="24"/>
          <w:lang w:val="en-US" w:eastAsia="zh-CN"/>
        </w:rPr>
        <w:t>，所述压岩室内设有2-4套压岩杆、岩心筒、载物台和底座及相关附属设备，加压管线在经过单向阀后设有余压岩杆相同数量的分支管道</w:t>
      </w:r>
      <w:r>
        <w:rPr>
          <w:rFonts w:hint="eastAsia" w:ascii="Times New Roman" w:hAnsi="Times New Roman" w:eastAsia="宋体" w:cs="Times New Roman"/>
          <w:sz w:val="24"/>
          <w:szCs w:val="24"/>
          <w:lang w:eastAsia="zh-CN"/>
        </w:rPr>
        <w:t>，如此，可同时进行多个同一条件下的岩心制备实验。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Arial" w:hAnsi="Arial" w:eastAsia="宋体"/>
          <w:sz w:val="24"/>
        </w:rPr>
      </w:pPr>
      <w:r>
        <w:rPr>
          <w:rFonts w:hint="eastAsia" w:ascii="Times New Roman" w:hAnsi="Times New Roman" w:eastAsia="宋体" w:cs="Times New Roman"/>
          <w:sz w:val="24"/>
          <w:szCs w:val="24"/>
          <w:lang w:eastAsia="zh-CN"/>
        </w:rPr>
        <w:t>进一步的</w:t>
      </w:r>
      <w:r>
        <w:rPr>
          <w:rFonts w:hint="eastAsia" w:ascii="Times New Roman" w:hAnsi="Times New Roman" w:cs="Times New Roman"/>
          <w:sz w:val="24"/>
          <w:szCs w:val="24"/>
          <w:lang w:val="en-US" w:eastAsia="zh-CN"/>
        </w:rPr>
        <w:t>，所述增压机出口与单向阀之间设有压力表，所述每条分支管道上均设有压力表。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进一步的</w:t>
      </w:r>
      <w:r>
        <w:rPr>
          <w:rFonts w:hint="eastAsia" w:ascii="Times New Roman" w:hAnsi="Times New Roman" w:cs="Times New Roman"/>
          <w:sz w:val="24"/>
          <w:szCs w:val="24"/>
          <w:lang w:val="en-US" w:eastAsia="zh-CN"/>
        </w:rPr>
        <w:t>，所述增压机、压力表、温度传感器、制热器与半导体制冷器均与控制器电连接</w:t>
      </w:r>
      <w:r>
        <w:rPr>
          <w:rFonts w:hint="eastAsia" w:ascii="Times New Roman" w:hAnsi="Times New Roman" w:eastAsia="宋体" w:cs="Times New Roman"/>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进一步的，</w:t>
      </w:r>
      <w:r>
        <w:rPr>
          <w:rFonts w:hint="eastAsia" w:ascii="Times New Roman" w:hAnsi="Times New Roman" w:cs="Times New Roman"/>
          <w:sz w:val="24"/>
          <w:szCs w:val="24"/>
          <w:lang w:val="en-US" w:eastAsia="zh-CN"/>
        </w:rPr>
        <w:t>所述压岩室下侧内表面设有凹陷的安装槽，其大小与底座底面相同，当安装好设备时，压岩杆、岩心筒、载物台和底座的中心线重合。</w:t>
      </w:r>
    </w:p>
    <w:p>
      <w:pPr>
        <w:spacing w:line="440" w:lineRule="exact"/>
        <w:ind w:firstLine="480"/>
        <w:rPr>
          <w:rFonts w:hint="eastAsia" w:ascii="宋体" w:hAnsi="宋体" w:eastAsia="宋体" w:cs="宋体"/>
          <w:sz w:val="24"/>
          <w:szCs w:val="24"/>
        </w:rPr>
      </w:pPr>
      <w:r>
        <w:rPr>
          <w:rFonts w:hint="eastAsia" w:ascii="宋体" w:hAnsi="宋体" w:eastAsia="宋体" w:cs="宋体"/>
          <w:sz w:val="24"/>
          <w:szCs w:val="24"/>
        </w:rPr>
        <w:t>本</w:t>
      </w:r>
      <w:r>
        <w:rPr>
          <w:rFonts w:hint="eastAsia" w:ascii="宋体" w:hAnsi="宋体" w:eastAsia="宋体" w:cs="宋体"/>
          <w:sz w:val="24"/>
          <w:szCs w:val="24"/>
          <w:lang w:eastAsia="zh-CN"/>
        </w:rPr>
        <w:t>实用新型</w:t>
      </w:r>
      <w:r>
        <w:rPr>
          <w:rFonts w:hint="eastAsia" w:ascii="宋体" w:hAnsi="宋体" w:eastAsia="宋体" w:cs="宋体"/>
          <w:sz w:val="24"/>
          <w:szCs w:val="24"/>
        </w:rPr>
        <w:t>的有益效果是：</w:t>
      </w:r>
    </w:p>
    <w:p>
      <w:pPr>
        <w:numPr>
          <w:ilvl w:val="0"/>
          <w:numId w:val="2"/>
        </w:numPr>
        <w:spacing w:line="440" w:lineRule="exact"/>
        <w:ind w:firstLine="480"/>
        <w:rPr>
          <w:rFonts w:hint="eastAsia" w:ascii="宋体" w:hAnsi="宋体" w:eastAsia="宋体" w:cs="宋体"/>
          <w:sz w:val="24"/>
          <w:szCs w:val="24"/>
          <w:lang w:eastAsia="zh-CN"/>
        </w:rPr>
      </w:pPr>
      <w:r>
        <w:rPr>
          <w:rFonts w:hint="eastAsia" w:ascii="宋体" w:hAnsi="宋体" w:eastAsia="宋体" w:cs="宋体"/>
          <w:sz w:val="24"/>
          <w:szCs w:val="24"/>
          <w:lang w:eastAsia="zh-CN"/>
        </w:rPr>
        <w:t>本实用新型通过设置阶梯状的载物台以及与其配套的底座，使得在取岩心时不需要其余设备，使得整个装置更加简洁，镜面柱的镜面使得岩心在高压下不会与其粘结，更加容易取出。</w:t>
      </w:r>
    </w:p>
    <w:p>
      <w:pPr>
        <w:numPr>
          <w:ilvl w:val="0"/>
          <w:numId w:val="2"/>
        </w:numPr>
        <w:spacing w:line="440" w:lineRule="exact"/>
        <w:ind w:firstLine="480"/>
        <w:rPr>
          <w:rFonts w:hint="eastAsia" w:ascii="宋体" w:hAnsi="宋体" w:eastAsia="宋体" w:cs="宋体"/>
          <w:sz w:val="24"/>
          <w:szCs w:val="24"/>
          <w:lang w:eastAsia="zh-CN"/>
        </w:rPr>
      </w:pPr>
      <w:r>
        <w:rPr>
          <w:rFonts w:hint="eastAsia" w:ascii="宋体" w:hAnsi="宋体" w:eastAsia="宋体" w:cs="宋体"/>
          <w:sz w:val="24"/>
          <w:szCs w:val="24"/>
          <w:lang w:eastAsia="zh-CN"/>
        </w:rPr>
        <w:t>制热器、半导体制冷器以及温度传感器的协同应用，保证了整个试验过程中处于恒温状态，更符合实际地层条件。</w:t>
      </w:r>
    </w:p>
    <w:p>
      <w:pPr>
        <w:spacing w:line="440" w:lineRule="exact"/>
        <w:ind w:firstLine="0" w:firstLineChars="0"/>
        <w:rPr>
          <w:rFonts w:hint="eastAsia" w:ascii="宋体" w:hAnsi="宋体" w:eastAsia="宋体" w:cs="宋体"/>
          <w:b/>
          <w:sz w:val="24"/>
          <w:szCs w:val="24"/>
        </w:rPr>
      </w:pPr>
      <w:r>
        <w:rPr>
          <w:rFonts w:hint="eastAsia" w:ascii="宋体" w:hAnsi="宋体" w:eastAsia="宋体" w:cs="宋体"/>
          <w:b/>
          <w:sz w:val="24"/>
          <w:szCs w:val="24"/>
        </w:rPr>
        <w:t>附图说明</w:t>
      </w:r>
    </w:p>
    <w:p>
      <w:pPr>
        <w:spacing w:line="440" w:lineRule="exact"/>
        <w:ind w:firstLine="480"/>
        <w:rPr>
          <w:rFonts w:hint="eastAsia" w:ascii="宋体" w:hAnsi="宋体" w:eastAsia="宋体" w:cs="宋体"/>
          <w:sz w:val="24"/>
          <w:szCs w:val="24"/>
          <w:lang w:eastAsia="zh-CN"/>
        </w:rPr>
      </w:pPr>
      <w:r>
        <w:rPr>
          <w:rFonts w:hint="eastAsia" w:ascii="宋体" w:hAnsi="宋体" w:eastAsia="宋体" w:cs="宋体"/>
          <w:sz w:val="24"/>
          <w:szCs w:val="24"/>
        </w:rPr>
        <w:t>图1：本</w:t>
      </w:r>
      <w:r>
        <w:rPr>
          <w:rFonts w:hint="eastAsia" w:ascii="宋体" w:hAnsi="宋体" w:eastAsia="宋体" w:cs="宋体"/>
          <w:sz w:val="24"/>
          <w:szCs w:val="24"/>
          <w:lang w:eastAsia="zh-CN"/>
        </w:rPr>
        <w:t>实用新型结构主体</w:t>
      </w:r>
      <w:r>
        <w:rPr>
          <w:rFonts w:hint="eastAsia" w:ascii="宋体" w:hAnsi="宋体" w:eastAsia="宋体" w:cs="宋体"/>
          <w:sz w:val="24"/>
          <w:szCs w:val="24"/>
        </w:rPr>
        <w:t>示意图</w:t>
      </w:r>
      <w:r>
        <w:rPr>
          <w:rFonts w:hint="eastAsia" w:ascii="宋体" w:hAnsi="宋体" w:eastAsia="宋体" w:cs="宋体"/>
          <w:sz w:val="24"/>
          <w:szCs w:val="24"/>
          <w:lang w:eastAsia="zh-CN"/>
        </w:rPr>
        <w:t>；</w:t>
      </w:r>
    </w:p>
    <w:p>
      <w:pPr>
        <w:spacing w:line="440" w:lineRule="exact"/>
        <w:ind w:firstLine="480"/>
        <w:rPr>
          <w:rFonts w:hint="default" w:ascii="宋体" w:hAnsi="宋体" w:eastAsia="宋体" w:cs="宋体"/>
          <w:sz w:val="24"/>
          <w:szCs w:val="24"/>
          <w:lang w:val="en-US" w:eastAsia="zh-CN"/>
        </w:rPr>
      </w:pPr>
      <w:r>
        <w:rPr>
          <w:rFonts w:hint="eastAsia" w:ascii="宋体" w:hAnsi="宋体" w:eastAsia="宋体" w:cs="宋体"/>
          <w:sz w:val="24"/>
          <w:szCs w:val="24"/>
        </w:rPr>
        <w:t>图2：</w:t>
      </w:r>
      <w:r>
        <w:rPr>
          <w:rFonts w:hint="eastAsia" w:ascii="宋体" w:hAnsi="宋体" w:eastAsia="宋体" w:cs="宋体"/>
          <w:sz w:val="24"/>
          <w:szCs w:val="24"/>
          <w:lang w:eastAsia="zh-CN"/>
        </w:rPr>
        <w:t>增压泵出口管与围压室加压管结构示意图</w:t>
      </w:r>
      <w:r>
        <w:rPr>
          <w:rFonts w:hint="eastAsia" w:ascii="宋体" w:hAnsi="宋体" w:eastAsia="宋体" w:cs="宋体"/>
          <w:sz w:val="24"/>
          <w:szCs w:val="24"/>
          <w:lang w:val="en-US" w:eastAsia="zh-CN"/>
        </w:rPr>
        <w:t>；</w:t>
      </w:r>
    </w:p>
    <w:p>
      <w:pPr>
        <w:spacing w:line="440" w:lineRule="exact"/>
        <w:ind w:firstLine="480"/>
        <w:rPr>
          <w:rFonts w:hint="default" w:ascii="宋体" w:hAnsi="宋体" w:eastAsia="宋体" w:cs="宋体"/>
          <w:sz w:val="24"/>
          <w:szCs w:val="24"/>
          <w:lang w:val="en-US" w:eastAsia="zh-CN"/>
        </w:rPr>
      </w:pPr>
      <w:r>
        <w:rPr>
          <w:rFonts w:hint="eastAsia" w:ascii="宋体" w:hAnsi="宋体" w:eastAsia="宋体" w:cs="宋体"/>
          <w:sz w:val="24"/>
          <w:szCs w:val="24"/>
          <w:lang w:eastAsia="zh-CN"/>
        </w:rPr>
        <w:t>图中，</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增压机，</w:t>
      </w:r>
      <w:r>
        <w:rPr>
          <w:rFonts w:hint="eastAsia" w:ascii="宋体" w:hAnsi="宋体" w:eastAsia="宋体" w:cs="宋体"/>
          <w:sz w:val="24"/>
          <w:szCs w:val="24"/>
          <w:lang w:val="en-US" w:eastAsia="zh-CN"/>
        </w:rPr>
        <w:t>2控制器，3压岩室，4加压管线，5泄压管线，6传压模块，7制热器，8半导体制冷器，9岩心筒，10压岩杆，11载物台，12压力表，13底座，14镜面柱，1101外层，1102内层</w:t>
      </w:r>
      <w:r>
        <w:rPr>
          <w:rFonts w:hint="eastAsia" w:ascii="Times New Roman" w:hAnsi="Times New Roman" w:eastAsia="宋体" w:cs="Times New Roman"/>
          <w:sz w:val="24"/>
          <w:szCs w:val="24"/>
          <w:lang w:val="en-US" w:eastAsia="zh-CN"/>
        </w:rPr>
        <w:t>。</w:t>
      </w:r>
    </w:p>
    <w:p>
      <w:pPr>
        <w:spacing w:line="440" w:lineRule="exact"/>
        <w:ind w:firstLine="0" w:firstLineChars="0"/>
        <w:rPr>
          <w:rFonts w:hint="eastAsia" w:ascii="宋体" w:hAnsi="宋体" w:eastAsia="宋体" w:cs="宋体"/>
          <w:b/>
          <w:sz w:val="24"/>
          <w:szCs w:val="24"/>
        </w:rPr>
      </w:pPr>
      <w:r>
        <w:rPr>
          <w:rFonts w:hint="eastAsia" w:ascii="宋体" w:hAnsi="宋体" w:eastAsia="宋体" w:cs="宋体"/>
          <w:b/>
          <w:sz w:val="24"/>
          <w:szCs w:val="24"/>
        </w:rPr>
        <w:t>具体实施方式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为了方便本领域普通技术人员理解和实施本</w:t>
      </w:r>
      <w:r>
        <w:rPr>
          <w:rFonts w:hint="eastAsia" w:ascii="宋体" w:hAnsi="宋体" w:eastAsia="宋体" w:cs="宋体"/>
          <w:sz w:val="24"/>
          <w:szCs w:val="24"/>
          <w:lang w:eastAsia="zh-CN"/>
        </w:rPr>
        <w:t>实用新型</w:t>
      </w:r>
      <w:r>
        <w:rPr>
          <w:rFonts w:hint="eastAsia" w:ascii="宋体" w:hAnsi="宋体" w:eastAsia="宋体" w:cs="宋体"/>
          <w:sz w:val="24"/>
          <w:szCs w:val="24"/>
        </w:rPr>
        <w:t>，下面结合图及实施例对本</w:t>
      </w:r>
      <w:r>
        <w:rPr>
          <w:rFonts w:hint="eastAsia" w:ascii="宋体" w:hAnsi="宋体" w:eastAsia="宋体" w:cs="宋体"/>
          <w:sz w:val="24"/>
          <w:szCs w:val="24"/>
          <w:lang w:eastAsia="zh-CN"/>
        </w:rPr>
        <w:t>实用新型</w:t>
      </w:r>
      <w:r>
        <w:rPr>
          <w:rFonts w:hint="eastAsia" w:ascii="宋体" w:hAnsi="宋体" w:eastAsia="宋体" w:cs="宋体"/>
          <w:sz w:val="24"/>
          <w:szCs w:val="24"/>
        </w:rPr>
        <w:t>作进一步的详细描述，应当理解，此处所述的实施示例仅用于说明和解释本</w:t>
      </w:r>
      <w:r>
        <w:rPr>
          <w:rFonts w:hint="eastAsia" w:ascii="宋体" w:hAnsi="宋体" w:eastAsia="宋体" w:cs="宋体"/>
          <w:sz w:val="24"/>
          <w:szCs w:val="24"/>
          <w:lang w:eastAsia="zh-CN"/>
        </w:rPr>
        <w:t>实用新型</w:t>
      </w:r>
      <w:r>
        <w:rPr>
          <w:rFonts w:hint="eastAsia" w:ascii="宋体" w:hAnsi="宋体" w:eastAsia="宋体" w:cs="宋体"/>
          <w:sz w:val="24"/>
          <w:szCs w:val="24"/>
        </w:rPr>
        <w:t>，并不用于限定本</w:t>
      </w:r>
      <w:r>
        <w:rPr>
          <w:rFonts w:hint="eastAsia" w:ascii="宋体" w:hAnsi="宋体" w:eastAsia="宋体" w:cs="宋体"/>
          <w:sz w:val="24"/>
          <w:szCs w:val="24"/>
          <w:lang w:eastAsia="zh-CN"/>
        </w:rPr>
        <w:t>实用新型</w:t>
      </w:r>
      <w:r>
        <w:rPr>
          <w:rFonts w:hint="eastAsia" w:ascii="宋体" w:hAnsi="宋体" w:eastAsia="宋体" w:cs="宋体"/>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Arial" w:hAnsi="Arial" w:eastAsia="宋体"/>
          <w:sz w:val="24"/>
          <w:lang w:eastAsia="zh-CN"/>
        </w:rPr>
      </w:pPr>
      <w:r>
        <w:rPr>
          <w:rFonts w:hint="default" w:ascii="Times New Roman" w:hAnsi="Times New Roman" w:cs="Times New Roman"/>
          <w:sz w:val="24"/>
          <w:szCs w:val="24"/>
          <w:lang w:val="en-US" w:eastAsia="zh-CN"/>
        </w:rPr>
        <w:t>一种用于防塌性能评价的浸泡实验的岩心制备装置</w:t>
      </w:r>
      <w:r>
        <w:rPr>
          <w:rFonts w:hint="eastAsia" w:ascii="Times New Roman" w:hAnsi="Times New Roman" w:cs="Times New Roman"/>
          <w:b w:val="0"/>
          <w:bCs w:val="0"/>
          <w:sz w:val="24"/>
          <w:szCs w:val="24"/>
          <w:lang w:val="en-US" w:eastAsia="zh-CN"/>
        </w:rPr>
        <w:t>，包括压力系统、控制器2和制备系统，所述压力系统包括增压机1、加压管线4和泄</w:t>
      </w:r>
      <w:r>
        <w:rPr>
          <w:rFonts w:hint="eastAsia" w:ascii="Times New Roman" w:hAnsi="Times New Roman" w:cs="Times New Roman"/>
          <w:sz w:val="24"/>
          <w:szCs w:val="24"/>
          <w:lang w:val="en-US" w:eastAsia="zh-CN"/>
        </w:rPr>
        <w:t>压管线5，所述制备系统包括压岩室3、压岩杆10、岩心筒9和载物台11，所述加压管线4上设有单向阀，所述泄压管线5上设有</w:t>
      </w:r>
      <w:r>
        <w:rPr>
          <w:rFonts w:hint="eastAsia" w:ascii="Times New Roman" w:hAnsi="Times New Roman" w:cs="Times New Roman"/>
          <w:b w:val="0"/>
          <w:bCs w:val="0"/>
          <w:sz w:val="24"/>
          <w:szCs w:val="24"/>
          <w:lang w:val="en-US" w:eastAsia="zh-CN"/>
        </w:rPr>
        <w:t>阀门</w:t>
      </w:r>
      <w:r>
        <w:rPr>
          <w:rFonts w:hint="eastAsia" w:ascii="Times New Roman" w:hAnsi="Times New Roman" w:cs="Times New Roman"/>
          <w:b/>
          <w:bCs/>
          <w:sz w:val="24"/>
          <w:szCs w:val="24"/>
          <w:lang w:val="en-US" w:eastAsia="zh-CN"/>
        </w:rPr>
        <w:t>，</w:t>
      </w:r>
      <w:r>
        <w:rPr>
          <w:rFonts w:hint="eastAsia" w:ascii="Times New Roman" w:hAnsi="Times New Roman" w:cs="Times New Roman"/>
          <w:sz w:val="24"/>
          <w:szCs w:val="24"/>
          <w:lang w:val="en-US" w:eastAsia="zh-CN"/>
        </w:rPr>
        <w:t>所述增压机1通过加压管线4连接压岩室3顶侧传压模块6，所述传压模块6与压岩杆10连接，所述岩心筒9内径与压岩杆10直径相等，所述压岩室3内从上到下依次为：传压模块6、压岩杆10、岩心筒9、载物台11和底座13，所述载物台11分为内外两层且均为空心，所述外层1101的内径等于岩心筒9外径，所述内层1102高度为外层1101高度的三分之一到五分之三，内层1102的外径等于岩心筒9外径，其内径大于岩心筒9内径0.5mm-1mm，所述内层1102固定于外层1101内且两者底面重合，</w:t>
      </w:r>
      <w:r>
        <w:rPr>
          <w:rFonts w:hint="eastAsia" w:ascii="Arial" w:hAnsi="Arial" w:eastAsia="宋体"/>
          <w:sz w:val="24"/>
          <w:lang w:eastAsia="zh-CN"/>
        </w:rPr>
        <w:t>所述底座</w:t>
      </w:r>
      <w:r>
        <w:rPr>
          <w:rFonts w:hint="eastAsia" w:ascii="Arial" w:hAnsi="Arial" w:eastAsia="宋体"/>
          <w:sz w:val="24"/>
          <w:lang w:val="en-US" w:eastAsia="zh-CN"/>
        </w:rPr>
        <w:t>13上</w:t>
      </w:r>
      <w:r>
        <w:rPr>
          <w:rFonts w:hint="eastAsia" w:ascii="Arial" w:hAnsi="Arial" w:eastAsia="宋体"/>
          <w:sz w:val="24"/>
          <w:lang w:eastAsia="zh-CN"/>
        </w:rPr>
        <w:t>设有圆柱形镜面柱</w:t>
      </w:r>
      <w:r>
        <w:rPr>
          <w:rFonts w:hint="eastAsia" w:ascii="Arial" w:hAnsi="Arial" w:eastAsia="宋体"/>
          <w:sz w:val="24"/>
          <w:lang w:val="en-US" w:eastAsia="zh-CN"/>
        </w:rPr>
        <w:t>14</w:t>
      </w:r>
      <w:r>
        <w:rPr>
          <w:rFonts w:hint="eastAsia" w:ascii="Arial" w:hAnsi="Arial" w:eastAsia="宋体"/>
          <w:sz w:val="24"/>
          <w:lang w:eastAsia="zh-CN"/>
        </w:rPr>
        <w:t>，且底座</w:t>
      </w:r>
      <w:r>
        <w:rPr>
          <w:rFonts w:hint="eastAsia" w:ascii="Arial" w:hAnsi="Arial" w:eastAsia="宋体"/>
          <w:sz w:val="24"/>
          <w:lang w:val="en-US" w:eastAsia="zh-CN"/>
        </w:rPr>
        <w:t>13</w:t>
      </w:r>
      <w:r>
        <w:rPr>
          <w:rFonts w:hint="eastAsia" w:ascii="Arial" w:hAnsi="Arial" w:eastAsia="宋体"/>
          <w:sz w:val="24"/>
          <w:lang w:eastAsia="zh-CN"/>
        </w:rPr>
        <w:t>底面和载物</w:t>
      </w:r>
      <w:r>
        <w:rPr>
          <w:rFonts w:hint="eastAsia" w:ascii="Arial" w:hAnsi="Arial" w:eastAsia="宋体"/>
          <w:sz w:val="24"/>
          <w:lang w:val="en-US" w:eastAsia="zh-CN"/>
        </w:rPr>
        <w:t>11</w:t>
      </w:r>
      <w:r>
        <w:rPr>
          <w:rFonts w:hint="eastAsia" w:ascii="Arial" w:hAnsi="Arial" w:eastAsia="宋体"/>
          <w:sz w:val="24"/>
          <w:lang w:eastAsia="zh-CN"/>
        </w:rPr>
        <w:t>台底面的形状和大小均相同，所述镜面柱</w:t>
      </w:r>
      <w:r>
        <w:rPr>
          <w:rFonts w:hint="eastAsia" w:ascii="Arial" w:hAnsi="Arial" w:eastAsia="宋体"/>
          <w:sz w:val="24"/>
          <w:lang w:val="en-US" w:eastAsia="zh-CN"/>
        </w:rPr>
        <w:t>14</w:t>
      </w:r>
      <w:r>
        <w:rPr>
          <w:rFonts w:hint="eastAsia" w:ascii="Arial" w:hAnsi="Arial" w:eastAsia="宋体"/>
          <w:sz w:val="24"/>
          <w:lang w:eastAsia="zh-CN"/>
        </w:rPr>
        <w:t>直径等于内层</w:t>
      </w:r>
      <w:r>
        <w:rPr>
          <w:rFonts w:hint="eastAsia" w:ascii="Arial" w:hAnsi="Arial" w:eastAsia="宋体"/>
          <w:sz w:val="24"/>
          <w:lang w:val="en-US" w:eastAsia="zh-CN"/>
        </w:rPr>
        <w:t>1102</w:t>
      </w:r>
      <w:r>
        <w:rPr>
          <w:rFonts w:hint="eastAsia" w:ascii="Arial" w:hAnsi="Arial" w:eastAsia="宋体"/>
          <w:sz w:val="24"/>
          <w:lang w:eastAsia="zh-CN"/>
        </w:rPr>
        <w:t>的内径，其高度等于内层</w:t>
      </w:r>
      <w:r>
        <w:rPr>
          <w:rFonts w:hint="eastAsia" w:ascii="Arial" w:hAnsi="Arial" w:eastAsia="宋体"/>
          <w:sz w:val="24"/>
          <w:lang w:val="en-US" w:eastAsia="zh-CN"/>
        </w:rPr>
        <w:t>1102</w:t>
      </w:r>
      <w:r>
        <w:rPr>
          <w:rFonts w:hint="eastAsia" w:ascii="Arial" w:hAnsi="Arial" w:eastAsia="宋体"/>
          <w:sz w:val="24"/>
          <w:lang w:eastAsia="zh-CN"/>
        </w:rPr>
        <w:t>高度，镜面柱</w:t>
      </w:r>
      <w:r>
        <w:rPr>
          <w:rFonts w:hint="eastAsia" w:ascii="Arial" w:hAnsi="Arial" w:eastAsia="宋体"/>
          <w:sz w:val="24"/>
          <w:lang w:val="en-US" w:eastAsia="zh-CN"/>
        </w:rPr>
        <w:t>14</w:t>
      </w:r>
      <w:r>
        <w:rPr>
          <w:rFonts w:hint="eastAsia" w:ascii="Arial" w:hAnsi="Arial" w:eastAsia="宋体"/>
          <w:sz w:val="24"/>
          <w:lang w:eastAsia="zh-CN"/>
        </w:rPr>
        <w:t>上表面做镜面处理；载物台</w:t>
      </w:r>
      <w:r>
        <w:rPr>
          <w:rFonts w:hint="eastAsia" w:ascii="Arial" w:hAnsi="Arial" w:eastAsia="宋体"/>
          <w:sz w:val="24"/>
          <w:lang w:val="en-US" w:eastAsia="zh-CN"/>
        </w:rPr>
        <w:t>11</w:t>
      </w:r>
      <w:r>
        <w:rPr>
          <w:rFonts w:hint="eastAsia" w:ascii="Arial" w:hAnsi="Arial" w:eastAsia="宋体"/>
          <w:sz w:val="24"/>
          <w:lang w:eastAsia="zh-CN"/>
        </w:rPr>
        <w:t>和底座</w:t>
      </w:r>
      <w:r>
        <w:rPr>
          <w:rFonts w:hint="eastAsia" w:ascii="Arial" w:hAnsi="Arial" w:eastAsia="宋体"/>
          <w:sz w:val="24"/>
          <w:lang w:val="en-US" w:eastAsia="zh-CN"/>
        </w:rPr>
        <w:t>13</w:t>
      </w:r>
      <w:r>
        <w:rPr>
          <w:rFonts w:hint="eastAsia" w:ascii="Arial" w:hAnsi="Arial" w:eastAsia="宋体"/>
          <w:sz w:val="24"/>
          <w:lang w:eastAsia="zh-CN"/>
        </w:rPr>
        <w:t>的设计，保证了加压时制备岩心时岩心筒</w:t>
      </w:r>
      <w:r>
        <w:rPr>
          <w:rFonts w:hint="eastAsia" w:ascii="Arial" w:hAnsi="Arial" w:eastAsia="宋体"/>
          <w:sz w:val="24"/>
          <w:lang w:val="en-US" w:eastAsia="zh-CN"/>
        </w:rPr>
        <w:t>9</w:t>
      </w:r>
      <w:r>
        <w:rPr>
          <w:rFonts w:hint="eastAsia" w:ascii="Arial" w:hAnsi="Arial" w:eastAsia="宋体"/>
          <w:sz w:val="24"/>
          <w:lang w:eastAsia="zh-CN"/>
        </w:rPr>
        <w:t>的稳定，镜面处理的镜面柱</w:t>
      </w:r>
      <w:r>
        <w:rPr>
          <w:rFonts w:hint="eastAsia" w:ascii="Arial" w:hAnsi="Arial" w:eastAsia="宋体"/>
          <w:sz w:val="24"/>
          <w:lang w:val="en-US" w:eastAsia="zh-CN"/>
        </w:rPr>
        <w:t>14使得</w:t>
      </w:r>
      <w:r>
        <w:rPr>
          <w:rFonts w:hint="eastAsia" w:ascii="Arial" w:hAnsi="Arial" w:eastAsia="宋体"/>
          <w:sz w:val="24"/>
          <w:lang w:eastAsia="zh-CN"/>
        </w:rPr>
        <w:t>岩心不会与其粘结，在取样时底座</w:t>
      </w:r>
      <w:r>
        <w:rPr>
          <w:rFonts w:hint="eastAsia" w:ascii="Arial" w:hAnsi="Arial" w:eastAsia="宋体"/>
          <w:sz w:val="24"/>
          <w:lang w:val="en-US" w:eastAsia="zh-CN"/>
        </w:rPr>
        <w:t>13</w:t>
      </w:r>
      <w:r>
        <w:rPr>
          <w:rFonts w:hint="eastAsia" w:ascii="Arial" w:hAnsi="Arial" w:eastAsia="宋体"/>
          <w:sz w:val="24"/>
          <w:lang w:eastAsia="zh-CN"/>
        </w:rPr>
        <w:t>也能够顺利取下。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eastAsia="zh-CN"/>
        </w:rPr>
      </w:pPr>
      <w:r>
        <w:rPr>
          <w:rFonts w:hint="eastAsia" w:ascii="Arial" w:hAnsi="Arial" w:eastAsia="宋体"/>
          <w:sz w:val="24"/>
          <w:lang w:eastAsia="zh-CN"/>
        </w:rPr>
        <w:t>所述</w:t>
      </w:r>
      <w:r>
        <w:rPr>
          <w:rFonts w:hint="eastAsia" w:ascii="Times New Roman" w:hAnsi="Times New Roman" w:cs="Times New Roman"/>
          <w:sz w:val="24"/>
          <w:szCs w:val="24"/>
          <w:lang w:val="en-US" w:eastAsia="zh-CN"/>
        </w:rPr>
        <w:t>压岩室3内设有制热器7和半导体制冷器8，用于调节压岩室内的温度，因制样过程中的高压力和摩擦力，岩心及岩心筒9会产生热量，因此简单的制热器7不能满足压岩室3的控温要求，岩心筒9外表面设有温度传感器。所述压岩室3内设有2套压岩杆10、岩心筒9、载物台11和底座13及相关附属设备，加压管线4在经过单向阀后设有相同数量的分支管道</w:t>
      </w:r>
      <w:r>
        <w:rPr>
          <w:rFonts w:hint="eastAsia" w:ascii="Times New Roman" w:hAnsi="Times New Roman" w:eastAsia="宋体" w:cs="Times New Roman"/>
          <w:sz w:val="24"/>
          <w:szCs w:val="24"/>
          <w:lang w:eastAsia="zh-CN"/>
        </w:rPr>
        <w:t>，可同时进行多个同一条件下的岩心制备实验。</w:t>
      </w:r>
      <w:r>
        <w:rPr>
          <w:rFonts w:hint="eastAsia" w:ascii="Times New Roman" w:hAnsi="Times New Roman" w:cs="Times New Roman"/>
          <w:sz w:val="24"/>
          <w:szCs w:val="24"/>
          <w:lang w:val="en-US" w:eastAsia="zh-CN"/>
        </w:rPr>
        <w:t>所述增压机1出口与单向阀之间设有压力表12，所述每条分支管道上均设有压力表12。所述增压机1、压力表12、温度传感器、制热器7与半导体制冷器8均与控制器2电连接</w:t>
      </w:r>
      <w:r>
        <w:rPr>
          <w:rFonts w:hint="eastAsia" w:ascii="Times New Roman" w:hAnsi="Times New Roman" w:eastAsia="宋体" w:cs="Times New Roman"/>
          <w:sz w:val="24"/>
          <w:szCs w:val="24"/>
          <w:lang w:eastAsia="zh-CN"/>
        </w:rPr>
        <w:t>。</w:t>
      </w:r>
    </w:p>
    <w:p>
      <w:pPr>
        <w:spacing w:line="440" w:lineRule="exact"/>
        <w:ind w:firstLine="480"/>
        <w:rPr>
          <w:rFonts w:hint="eastAsia" w:ascii="宋体" w:hAnsi="宋体" w:eastAsia="宋体" w:cs="宋体"/>
          <w:sz w:val="24"/>
          <w:szCs w:val="24"/>
          <w:lang w:eastAsia="zh-CN"/>
        </w:rPr>
      </w:pPr>
      <w:r>
        <w:rPr>
          <w:rFonts w:hint="eastAsia" w:ascii="宋体" w:hAnsi="宋体" w:eastAsia="宋体" w:cs="宋体"/>
          <w:sz w:val="24"/>
          <w:szCs w:val="24"/>
          <w:lang w:eastAsia="zh-CN"/>
        </w:rPr>
        <w:t>本实用新型的使用方法如下：</w:t>
      </w:r>
    </w:p>
    <w:p>
      <w:pPr>
        <w:spacing w:line="440" w:lineRule="exact"/>
        <w:ind w:firstLine="480"/>
        <w:rPr>
          <w:rFonts w:hint="default" w:ascii="宋体" w:hAnsi="宋体" w:eastAsia="宋体" w:cs="宋体"/>
          <w:sz w:val="24"/>
          <w:szCs w:val="24"/>
          <w:lang w:val="en-US" w:eastAsia="zh-CN"/>
        </w:rPr>
      </w:pPr>
      <w:r>
        <w:rPr>
          <w:rFonts w:hint="eastAsia" w:ascii="宋体" w:hAnsi="宋体" w:eastAsia="宋体" w:cs="宋体"/>
          <w:sz w:val="24"/>
          <w:szCs w:val="24"/>
          <w:lang w:eastAsia="zh-CN"/>
        </w:rPr>
        <w:t>按照岩心的制备要求准备不同内径和数量的岩心筒</w:t>
      </w:r>
      <w:r>
        <w:rPr>
          <w:rFonts w:hint="eastAsia" w:ascii="宋体" w:hAnsi="宋体" w:eastAsia="宋体" w:cs="宋体"/>
          <w:sz w:val="24"/>
          <w:szCs w:val="24"/>
          <w:lang w:val="en-US" w:eastAsia="zh-CN"/>
        </w:rPr>
        <w:t>9</w:t>
      </w:r>
      <w:r>
        <w:rPr>
          <w:rFonts w:hint="eastAsia" w:ascii="宋体" w:hAnsi="宋体" w:eastAsia="宋体" w:cs="宋体"/>
          <w:sz w:val="24"/>
          <w:szCs w:val="24"/>
          <w:lang w:eastAsia="zh-CN"/>
        </w:rPr>
        <w:t>，并准备与其配套的底座</w:t>
      </w:r>
      <w:r>
        <w:rPr>
          <w:rFonts w:hint="eastAsia" w:ascii="宋体" w:hAnsi="宋体" w:eastAsia="宋体" w:cs="宋体"/>
          <w:sz w:val="24"/>
          <w:szCs w:val="24"/>
          <w:lang w:val="en-US" w:eastAsia="zh-CN"/>
        </w:rPr>
        <w:t>13</w:t>
      </w:r>
      <w:r>
        <w:rPr>
          <w:rFonts w:hint="eastAsia" w:ascii="宋体" w:hAnsi="宋体" w:eastAsia="宋体" w:cs="宋体"/>
          <w:sz w:val="24"/>
          <w:szCs w:val="24"/>
          <w:lang w:eastAsia="zh-CN"/>
        </w:rPr>
        <w:t>、载物台</w:t>
      </w:r>
      <w:r>
        <w:rPr>
          <w:rFonts w:hint="eastAsia" w:ascii="宋体" w:hAnsi="宋体" w:eastAsia="宋体" w:cs="宋体"/>
          <w:sz w:val="24"/>
          <w:szCs w:val="24"/>
          <w:lang w:val="en-US" w:eastAsia="zh-CN"/>
        </w:rPr>
        <w:t>11</w:t>
      </w:r>
      <w:r>
        <w:rPr>
          <w:rFonts w:hint="eastAsia" w:ascii="宋体" w:hAnsi="宋体" w:eastAsia="宋体" w:cs="宋体"/>
          <w:sz w:val="24"/>
          <w:szCs w:val="24"/>
          <w:lang w:eastAsia="zh-CN"/>
        </w:rPr>
        <w:t>、压岩杆</w:t>
      </w:r>
      <w:r>
        <w:rPr>
          <w:rFonts w:hint="eastAsia" w:ascii="宋体" w:hAnsi="宋体" w:eastAsia="宋体" w:cs="宋体"/>
          <w:sz w:val="24"/>
          <w:szCs w:val="24"/>
          <w:lang w:val="en-US" w:eastAsia="zh-CN"/>
        </w:rPr>
        <w:t>10</w:t>
      </w:r>
      <w:r>
        <w:rPr>
          <w:rFonts w:hint="eastAsia" w:ascii="宋体" w:hAnsi="宋体" w:eastAsia="宋体" w:cs="宋体"/>
          <w:sz w:val="24"/>
          <w:szCs w:val="24"/>
          <w:lang w:eastAsia="zh-CN"/>
        </w:rPr>
        <w:t>，将底座</w:t>
      </w:r>
      <w:r>
        <w:rPr>
          <w:rFonts w:hint="eastAsia" w:ascii="宋体" w:hAnsi="宋体" w:eastAsia="宋体" w:cs="宋体"/>
          <w:sz w:val="24"/>
          <w:szCs w:val="24"/>
          <w:lang w:val="en-US" w:eastAsia="zh-CN"/>
        </w:rPr>
        <w:t>13</w:t>
      </w:r>
      <w:r>
        <w:rPr>
          <w:rFonts w:hint="eastAsia" w:ascii="宋体" w:hAnsi="宋体" w:eastAsia="宋体" w:cs="宋体"/>
          <w:sz w:val="24"/>
          <w:szCs w:val="24"/>
          <w:lang w:eastAsia="zh-CN"/>
        </w:rPr>
        <w:t>嵌于安装槽上，后将载物台</w:t>
      </w:r>
      <w:r>
        <w:rPr>
          <w:rFonts w:hint="eastAsia" w:ascii="宋体" w:hAnsi="宋体" w:eastAsia="宋体" w:cs="宋体"/>
          <w:sz w:val="24"/>
          <w:szCs w:val="24"/>
          <w:lang w:val="en-US" w:eastAsia="zh-CN"/>
        </w:rPr>
        <w:t>11</w:t>
      </w:r>
      <w:r>
        <w:rPr>
          <w:rFonts w:hint="eastAsia" w:ascii="宋体" w:hAnsi="宋体" w:eastAsia="宋体" w:cs="宋体"/>
          <w:sz w:val="24"/>
          <w:szCs w:val="24"/>
          <w:lang w:eastAsia="zh-CN"/>
        </w:rPr>
        <w:t>安装于底座</w:t>
      </w:r>
      <w:r>
        <w:rPr>
          <w:rFonts w:hint="eastAsia" w:ascii="宋体" w:hAnsi="宋体" w:eastAsia="宋体" w:cs="宋体"/>
          <w:sz w:val="24"/>
          <w:szCs w:val="24"/>
          <w:lang w:val="en-US" w:eastAsia="zh-CN"/>
        </w:rPr>
        <w:t>13</w:t>
      </w:r>
      <w:r>
        <w:rPr>
          <w:rFonts w:hint="eastAsia" w:ascii="宋体" w:hAnsi="宋体" w:eastAsia="宋体" w:cs="宋体"/>
          <w:sz w:val="24"/>
          <w:szCs w:val="24"/>
          <w:lang w:eastAsia="zh-CN"/>
        </w:rPr>
        <w:t>上，其中镜面柱</w:t>
      </w:r>
      <w:r>
        <w:rPr>
          <w:rFonts w:hint="eastAsia" w:ascii="宋体" w:hAnsi="宋体" w:eastAsia="宋体" w:cs="宋体"/>
          <w:sz w:val="24"/>
          <w:szCs w:val="24"/>
          <w:lang w:val="en-US" w:eastAsia="zh-CN"/>
        </w:rPr>
        <w:t>14</w:t>
      </w:r>
      <w:r>
        <w:rPr>
          <w:rFonts w:hint="eastAsia" w:ascii="宋体" w:hAnsi="宋体" w:eastAsia="宋体" w:cs="宋体"/>
          <w:sz w:val="24"/>
          <w:szCs w:val="24"/>
          <w:lang w:eastAsia="zh-CN"/>
        </w:rPr>
        <w:t>穿过内层</w:t>
      </w:r>
      <w:r>
        <w:rPr>
          <w:rFonts w:hint="eastAsia" w:ascii="宋体" w:hAnsi="宋体" w:eastAsia="宋体" w:cs="宋体"/>
          <w:sz w:val="24"/>
          <w:szCs w:val="24"/>
          <w:lang w:val="en-US" w:eastAsia="zh-CN"/>
        </w:rPr>
        <w:t>1102</w:t>
      </w:r>
      <w:r>
        <w:rPr>
          <w:rFonts w:hint="eastAsia" w:ascii="宋体" w:hAnsi="宋体" w:eastAsia="宋体" w:cs="宋体"/>
          <w:sz w:val="24"/>
          <w:szCs w:val="24"/>
          <w:lang w:eastAsia="zh-CN"/>
        </w:rPr>
        <w:t>的空心层，将压岩杆</w:t>
      </w:r>
      <w:r>
        <w:rPr>
          <w:rFonts w:hint="eastAsia" w:ascii="宋体" w:hAnsi="宋体" w:eastAsia="宋体" w:cs="宋体"/>
          <w:sz w:val="24"/>
          <w:szCs w:val="24"/>
          <w:lang w:val="en-US" w:eastAsia="zh-CN"/>
        </w:rPr>
        <w:t>10</w:t>
      </w:r>
      <w:r>
        <w:rPr>
          <w:rFonts w:hint="eastAsia" w:ascii="宋体" w:hAnsi="宋体" w:eastAsia="宋体" w:cs="宋体"/>
          <w:sz w:val="24"/>
          <w:szCs w:val="24"/>
          <w:lang w:eastAsia="zh-CN"/>
        </w:rPr>
        <w:t>和岩心筒</w:t>
      </w:r>
      <w:r>
        <w:rPr>
          <w:rFonts w:hint="eastAsia" w:ascii="宋体" w:hAnsi="宋体" w:eastAsia="宋体" w:cs="宋体"/>
          <w:sz w:val="24"/>
          <w:szCs w:val="24"/>
          <w:lang w:val="en-US" w:eastAsia="zh-CN"/>
        </w:rPr>
        <w:t>9</w:t>
      </w:r>
      <w:r>
        <w:rPr>
          <w:rFonts w:hint="eastAsia" w:ascii="宋体" w:hAnsi="宋体" w:eastAsia="宋体" w:cs="宋体"/>
          <w:sz w:val="24"/>
          <w:szCs w:val="24"/>
          <w:lang w:eastAsia="zh-CN"/>
        </w:rPr>
        <w:t>安装好后，将原料加入岩心筒</w:t>
      </w:r>
      <w:r>
        <w:rPr>
          <w:rFonts w:hint="eastAsia" w:ascii="宋体" w:hAnsi="宋体" w:eastAsia="宋体" w:cs="宋体"/>
          <w:sz w:val="24"/>
          <w:szCs w:val="24"/>
          <w:lang w:val="en-US" w:eastAsia="zh-CN"/>
        </w:rPr>
        <w:t>9</w:t>
      </w:r>
      <w:r>
        <w:rPr>
          <w:rFonts w:hint="eastAsia" w:ascii="宋体" w:hAnsi="宋体" w:eastAsia="宋体" w:cs="宋体"/>
          <w:sz w:val="24"/>
          <w:szCs w:val="24"/>
          <w:lang w:eastAsia="zh-CN"/>
        </w:rPr>
        <w:t>内，控制器</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预先设定工作压力和工作温度，通过制热器</w:t>
      </w:r>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t>和半导体制冷器</w:t>
      </w:r>
      <w:r>
        <w:rPr>
          <w:rFonts w:hint="eastAsia" w:ascii="宋体" w:hAnsi="宋体" w:eastAsia="宋体" w:cs="宋体"/>
          <w:sz w:val="24"/>
          <w:szCs w:val="24"/>
          <w:lang w:val="en-US" w:eastAsia="zh-CN"/>
        </w:rPr>
        <w:t>8</w:t>
      </w:r>
      <w:r>
        <w:rPr>
          <w:rFonts w:hint="eastAsia" w:ascii="宋体" w:hAnsi="宋体" w:eastAsia="宋体" w:cs="宋体"/>
          <w:sz w:val="24"/>
          <w:szCs w:val="24"/>
          <w:lang w:eastAsia="zh-CN"/>
        </w:rPr>
        <w:t>控制压岩室内的温度，增压机</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开始工作，当加压管线</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分支管上的压力表</w:t>
      </w:r>
      <w:r>
        <w:rPr>
          <w:rFonts w:hint="eastAsia" w:ascii="宋体" w:hAnsi="宋体" w:eastAsia="宋体" w:cs="宋体"/>
          <w:sz w:val="24"/>
          <w:szCs w:val="24"/>
          <w:lang w:val="en-US" w:eastAsia="zh-CN"/>
        </w:rPr>
        <w:t>12</w:t>
      </w:r>
      <w:r>
        <w:rPr>
          <w:rFonts w:hint="eastAsia" w:ascii="宋体" w:hAnsi="宋体" w:eastAsia="宋体" w:cs="宋体"/>
          <w:sz w:val="24"/>
          <w:szCs w:val="24"/>
          <w:lang w:eastAsia="zh-CN"/>
        </w:rPr>
        <w:t>达到设定数值时，维持该压力一定时间</w:t>
      </w:r>
      <w:r>
        <w:rPr>
          <w:rFonts w:hint="eastAsia" w:ascii="宋体" w:hAnsi="宋体" w:eastAsia="宋体" w:cs="宋体"/>
          <w:sz w:val="24"/>
          <w:szCs w:val="24"/>
          <w:lang w:val="en-US" w:eastAsia="zh-CN"/>
        </w:rPr>
        <w:t>后即可泄压，岩样的制备即完成；取下底座13，将载物台嵌于安装槽上并安装好其余设备，增压机1增加压力即可使所制备的岩心从载物台13底部取出。</w:t>
      </w:r>
    </w:p>
    <w:p>
      <w:pPr>
        <w:pStyle w:val="9"/>
        <w:overflowPunct/>
        <w:autoSpaceDE/>
        <w:autoSpaceDN/>
        <w:adjustRightInd/>
        <w:spacing w:line="360" w:lineRule="auto"/>
        <w:ind w:firstLine="480" w:firstLineChars="200"/>
        <w:jc w:val="both"/>
        <w:textAlignment w:val="auto"/>
        <w:rPr>
          <w:rFonts w:hint="eastAsia" w:ascii="宋体" w:hAnsi="宋体" w:eastAsia="宋体" w:cs="宋体"/>
          <w:sz w:val="24"/>
          <w:szCs w:val="24"/>
          <w:lang w:eastAsia="zh-CN"/>
        </w:rPr>
      </w:pPr>
      <w:r>
        <w:rPr>
          <w:rFonts w:hint="default" w:ascii="宋体" w:hAnsi="宋体" w:eastAsia="宋体" w:cs="宋体"/>
          <w:sz w:val="24"/>
          <w:szCs w:val="24"/>
        </w:rPr>
        <w:t>以上所述，并非对本</w:t>
      </w:r>
      <w:r>
        <w:rPr>
          <w:rFonts w:hint="eastAsia" w:ascii="宋体" w:hAnsi="宋体" w:cs="宋体"/>
          <w:sz w:val="24"/>
          <w:szCs w:val="24"/>
          <w:lang w:eastAsia="zh-CN"/>
        </w:rPr>
        <w:t>实用新型</w:t>
      </w:r>
      <w:r>
        <w:rPr>
          <w:rFonts w:hint="default" w:ascii="宋体" w:hAnsi="宋体" w:eastAsia="宋体" w:cs="宋体"/>
          <w:sz w:val="24"/>
          <w:szCs w:val="24"/>
        </w:rPr>
        <w:t>作任何形式上的限制，虽然本</w:t>
      </w:r>
      <w:r>
        <w:rPr>
          <w:rFonts w:hint="eastAsia" w:ascii="宋体" w:hAnsi="宋体" w:cs="宋体"/>
          <w:sz w:val="24"/>
          <w:szCs w:val="24"/>
          <w:lang w:eastAsia="zh-CN"/>
        </w:rPr>
        <w:t>实用新型</w:t>
      </w:r>
      <w:r>
        <w:rPr>
          <w:rFonts w:hint="default" w:ascii="宋体" w:hAnsi="宋体" w:eastAsia="宋体" w:cs="宋体"/>
          <w:sz w:val="24"/>
          <w:szCs w:val="24"/>
        </w:rPr>
        <w:t>已以较佳实施例揭露如上，然而并非用以限定本</w:t>
      </w:r>
      <w:r>
        <w:rPr>
          <w:rFonts w:hint="eastAsia" w:ascii="宋体" w:hAnsi="宋体" w:cs="宋体"/>
          <w:sz w:val="24"/>
          <w:szCs w:val="24"/>
          <w:lang w:eastAsia="zh-CN"/>
        </w:rPr>
        <w:t>实用新型</w:t>
      </w:r>
      <w:r>
        <w:rPr>
          <w:rFonts w:hint="default" w:ascii="宋体" w:hAnsi="宋体" w:eastAsia="宋体" w:cs="宋体"/>
          <w:sz w:val="24"/>
          <w:szCs w:val="24"/>
        </w:rPr>
        <w:t>，任何熟悉本专业的技术人员，在不脱离本</w:t>
      </w:r>
      <w:r>
        <w:rPr>
          <w:rFonts w:hint="eastAsia" w:ascii="宋体" w:hAnsi="宋体" w:cs="宋体"/>
          <w:sz w:val="24"/>
          <w:szCs w:val="24"/>
          <w:lang w:eastAsia="zh-CN"/>
        </w:rPr>
        <w:t>实用新型</w:t>
      </w:r>
      <w:r>
        <w:rPr>
          <w:rFonts w:hint="default" w:ascii="宋体" w:hAnsi="宋体" w:eastAsia="宋体" w:cs="宋体"/>
          <w:sz w:val="24"/>
          <w:szCs w:val="24"/>
        </w:rPr>
        <w:t>技术方案范围内，当可利用上述揭示的技术内容作出些许更动或修饰为等同变化的等效实施例，但凡是未脱离本</w:t>
      </w:r>
      <w:r>
        <w:rPr>
          <w:rFonts w:hint="eastAsia" w:ascii="宋体" w:hAnsi="宋体" w:cs="宋体"/>
          <w:sz w:val="24"/>
          <w:szCs w:val="24"/>
          <w:lang w:eastAsia="zh-CN"/>
        </w:rPr>
        <w:t>实用新型</w:t>
      </w:r>
      <w:r>
        <w:rPr>
          <w:rFonts w:hint="default" w:ascii="宋体" w:hAnsi="宋体" w:eastAsia="宋体" w:cs="宋体"/>
          <w:sz w:val="24"/>
          <w:szCs w:val="24"/>
        </w:rPr>
        <w:t>技术方案的内容，依据本</w:t>
      </w:r>
      <w:r>
        <w:rPr>
          <w:rFonts w:hint="eastAsia" w:ascii="宋体" w:hAnsi="宋体" w:cs="宋体"/>
          <w:sz w:val="24"/>
          <w:szCs w:val="24"/>
          <w:lang w:eastAsia="zh-CN"/>
        </w:rPr>
        <w:t>实用新型</w:t>
      </w:r>
      <w:r>
        <w:rPr>
          <w:rFonts w:hint="default" w:ascii="宋体" w:hAnsi="宋体" w:eastAsia="宋体" w:cs="宋体"/>
          <w:sz w:val="24"/>
          <w:szCs w:val="24"/>
        </w:rPr>
        <w:t>的技术实质对以上实施例所作的任何简单修改、等同变化与修饰，均仍属于本</w:t>
      </w:r>
      <w:r>
        <w:rPr>
          <w:rFonts w:hint="eastAsia" w:ascii="宋体" w:hAnsi="宋体" w:cs="宋体"/>
          <w:sz w:val="24"/>
          <w:szCs w:val="24"/>
          <w:lang w:eastAsia="zh-CN"/>
        </w:rPr>
        <w:t>实用新型</w:t>
      </w:r>
      <w:r>
        <w:rPr>
          <w:rFonts w:hint="default" w:ascii="宋体" w:hAnsi="宋体" w:eastAsia="宋体" w:cs="宋体"/>
          <w:sz w:val="24"/>
          <w:szCs w:val="24"/>
        </w:rPr>
        <w:t>技术方案的范围内</w:t>
      </w:r>
      <w:r>
        <w:rPr>
          <w:rFonts w:hint="eastAsia" w:ascii="宋体" w:hAnsi="宋体" w:eastAsia="宋体" w:cs="宋体"/>
          <w:sz w:val="24"/>
          <w:szCs w:val="24"/>
          <w:lang w:eastAsia="zh-CN"/>
        </w:rPr>
        <w:t>。</w:t>
      </w:r>
    </w:p>
    <w:p>
      <w:pPr>
        <w:pStyle w:val="9"/>
        <w:overflowPunct/>
        <w:autoSpaceDE/>
        <w:autoSpaceDN/>
        <w:adjustRightInd/>
        <w:spacing w:line="360" w:lineRule="auto"/>
        <w:ind w:firstLine="480" w:firstLineChars="200"/>
        <w:jc w:val="both"/>
        <w:textAlignment w:val="auto"/>
        <w:rPr>
          <w:rFonts w:hint="eastAsia" w:ascii="宋体" w:hAnsi="宋体" w:eastAsia="宋体" w:cs="宋体"/>
          <w:sz w:val="24"/>
          <w:szCs w:val="24"/>
          <w:lang w:eastAsia="zh-CN"/>
        </w:rPr>
        <w:sectPr>
          <w:headerReference r:id="rId10" w:type="default"/>
          <w:footerReference r:id="rId11"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pStyle w:val="9"/>
        <w:overflowPunct/>
        <w:autoSpaceDE/>
        <w:autoSpaceDN/>
        <w:adjustRightInd/>
        <w:spacing w:line="360" w:lineRule="auto"/>
        <w:ind w:firstLine="480" w:firstLineChars="200"/>
        <w:jc w:val="center"/>
        <w:textAlignment w:val="auto"/>
        <w:rPr>
          <w:rFonts w:hint="eastAsia" w:ascii="Arial" w:hAnsi="Arial" w:eastAsia="宋体"/>
          <w:lang w:eastAsia="zh-CN"/>
        </w:rPr>
      </w:pPr>
    </w:p>
    <w:p>
      <w:pPr>
        <w:pStyle w:val="9"/>
        <w:overflowPunct/>
        <w:autoSpaceDE/>
        <w:autoSpaceDN/>
        <w:adjustRightInd/>
        <w:spacing w:line="360" w:lineRule="auto"/>
        <w:ind w:firstLine="480" w:firstLineChars="200"/>
        <w:jc w:val="center"/>
        <w:textAlignment w:val="auto"/>
        <w:rPr>
          <w:rFonts w:hint="eastAsia" w:ascii="Arial" w:hAnsi="Arial" w:eastAsia="宋体"/>
          <w:lang w:eastAsia="zh-CN"/>
        </w:rPr>
      </w:pPr>
      <w:r>
        <w:rPr>
          <w:rFonts w:hint="eastAsia" w:ascii="Arial" w:hAnsi="Arial" w:eastAsia="宋体"/>
          <w:lang w:eastAsia="zh-CN"/>
        </w:rPr>
        <w:drawing>
          <wp:anchor distT="0" distB="0" distL="114300" distR="114300" simplePos="0" relativeHeight="251658240" behindDoc="1" locked="0" layoutInCell="1" allowOverlap="1">
            <wp:simplePos x="0" y="0"/>
            <wp:positionH relativeFrom="column">
              <wp:posOffset>530860</wp:posOffset>
            </wp:positionH>
            <wp:positionV relativeFrom="paragraph">
              <wp:posOffset>98425</wp:posOffset>
            </wp:positionV>
            <wp:extent cx="4673600" cy="3902075"/>
            <wp:effectExtent l="0" t="0" r="12700" b="3175"/>
            <wp:wrapNone/>
            <wp:docPr id="10" name="图片 10" descr="岩心制备-M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岩心制备-Mdel"/>
                    <pic:cNvPicPr>
                      <a:picLocks noChangeAspect="1"/>
                    </pic:cNvPicPr>
                  </pic:nvPicPr>
                  <pic:blipFill>
                    <a:blip r:embed="rId14"/>
                    <a:srcRect l="11261" t="40731"/>
                    <a:stretch>
                      <a:fillRect/>
                    </a:stretch>
                  </pic:blipFill>
                  <pic:spPr>
                    <a:xfrm>
                      <a:off x="0" y="0"/>
                      <a:ext cx="4673600" cy="3902075"/>
                    </a:xfrm>
                    <a:prstGeom prst="rect">
                      <a:avLst/>
                    </a:prstGeom>
                  </pic:spPr>
                </pic:pic>
              </a:graphicData>
            </a:graphic>
          </wp:anchor>
        </w:drawing>
      </w:r>
    </w:p>
    <w:p>
      <w:pPr>
        <w:pStyle w:val="9"/>
        <w:overflowPunct/>
        <w:autoSpaceDE/>
        <w:autoSpaceDN/>
        <w:adjustRightInd/>
        <w:spacing w:line="360" w:lineRule="auto"/>
        <w:ind w:firstLine="560" w:firstLineChars="200"/>
        <w:jc w:val="center"/>
        <w:textAlignment w:val="auto"/>
        <w:rPr>
          <w:rFonts w:hint="eastAsia" w:ascii="Arial" w:hAnsi="Arial" w:eastAsia="宋体"/>
          <w:b w:val="0"/>
          <w:bCs w:val="0"/>
          <w:sz w:val="28"/>
        </w:rPr>
      </w:pPr>
    </w:p>
    <w:p>
      <w:pPr>
        <w:pStyle w:val="9"/>
        <w:overflowPunct/>
        <w:autoSpaceDE/>
        <w:autoSpaceDN/>
        <w:adjustRightInd/>
        <w:spacing w:line="360" w:lineRule="auto"/>
        <w:ind w:firstLine="560" w:firstLineChars="200"/>
        <w:jc w:val="center"/>
        <w:textAlignment w:val="auto"/>
        <w:rPr>
          <w:rFonts w:hint="eastAsia" w:ascii="Arial" w:hAnsi="Arial" w:eastAsia="宋体"/>
          <w:b w:val="0"/>
          <w:bCs w:val="0"/>
          <w:sz w:val="28"/>
        </w:rPr>
      </w:pPr>
    </w:p>
    <w:p>
      <w:pPr>
        <w:pStyle w:val="9"/>
        <w:overflowPunct/>
        <w:autoSpaceDE/>
        <w:autoSpaceDN/>
        <w:adjustRightInd/>
        <w:spacing w:line="360" w:lineRule="auto"/>
        <w:ind w:firstLine="560" w:firstLineChars="200"/>
        <w:jc w:val="center"/>
        <w:textAlignment w:val="auto"/>
        <w:rPr>
          <w:rFonts w:hint="eastAsia" w:ascii="Arial" w:hAnsi="Arial" w:eastAsia="宋体"/>
          <w:b w:val="0"/>
          <w:bCs w:val="0"/>
          <w:sz w:val="28"/>
        </w:rPr>
      </w:pPr>
    </w:p>
    <w:p>
      <w:pPr>
        <w:pStyle w:val="9"/>
        <w:overflowPunct/>
        <w:autoSpaceDE/>
        <w:autoSpaceDN/>
        <w:adjustRightInd/>
        <w:spacing w:line="360" w:lineRule="auto"/>
        <w:ind w:firstLine="560" w:firstLineChars="200"/>
        <w:jc w:val="center"/>
        <w:textAlignment w:val="auto"/>
        <w:rPr>
          <w:rFonts w:hint="eastAsia" w:ascii="Arial" w:hAnsi="Arial" w:eastAsia="宋体"/>
          <w:b w:val="0"/>
          <w:bCs w:val="0"/>
          <w:sz w:val="28"/>
        </w:rPr>
      </w:pPr>
    </w:p>
    <w:p>
      <w:pPr>
        <w:pStyle w:val="9"/>
        <w:overflowPunct/>
        <w:autoSpaceDE/>
        <w:autoSpaceDN/>
        <w:adjustRightInd/>
        <w:spacing w:line="360" w:lineRule="auto"/>
        <w:ind w:firstLine="560" w:firstLineChars="200"/>
        <w:jc w:val="center"/>
        <w:textAlignment w:val="auto"/>
        <w:rPr>
          <w:rFonts w:hint="eastAsia" w:ascii="Arial" w:hAnsi="Arial" w:eastAsia="宋体"/>
          <w:b w:val="0"/>
          <w:bCs w:val="0"/>
          <w:sz w:val="28"/>
        </w:rPr>
      </w:pPr>
    </w:p>
    <w:p>
      <w:pPr>
        <w:pStyle w:val="9"/>
        <w:overflowPunct/>
        <w:autoSpaceDE/>
        <w:autoSpaceDN/>
        <w:adjustRightInd/>
        <w:spacing w:line="360" w:lineRule="auto"/>
        <w:ind w:firstLine="560" w:firstLineChars="200"/>
        <w:jc w:val="center"/>
        <w:textAlignment w:val="auto"/>
        <w:rPr>
          <w:rFonts w:hint="eastAsia" w:ascii="Arial" w:hAnsi="Arial" w:eastAsia="宋体"/>
          <w:b w:val="0"/>
          <w:bCs w:val="0"/>
          <w:sz w:val="28"/>
        </w:rPr>
      </w:pPr>
    </w:p>
    <w:p>
      <w:pPr>
        <w:pStyle w:val="9"/>
        <w:overflowPunct/>
        <w:autoSpaceDE/>
        <w:autoSpaceDN/>
        <w:adjustRightInd/>
        <w:spacing w:line="360" w:lineRule="auto"/>
        <w:ind w:firstLine="560" w:firstLineChars="200"/>
        <w:jc w:val="center"/>
        <w:textAlignment w:val="auto"/>
        <w:rPr>
          <w:rFonts w:hint="eastAsia" w:ascii="Arial" w:hAnsi="Arial" w:eastAsia="宋体"/>
          <w:b w:val="0"/>
          <w:bCs w:val="0"/>
          <w:sz w:val="28"/>
        </w:rPr>
      </w:pPr>
    </w:p>
    <w:p>
      <w:pPr>
        <w:pStyle w:val="9"/>
        <w:overflowPunct/>
        <w:autoSpaceDE/>
        <w:autoSpaceDN/>
        <w:adjustRightInd/>
        <w:spacing w:line="360" w:lineRule="auto"/>
        <w:ind w:firstLine="560" w:firstLineChars="200"/>
        <w:jc w:val="center"/>
        <w:textAlignment w:val="auto"/>
        <w:rPr>
          <w:rFonts w:hint="eastAsia" w:ascii="Arial" w:hAnsi="Arial" w:eastAsia="宋体"/>
          <w:b w:val="0"/>
          <w:bCs w:val="0"/>
          <w:sz w:val="28"/>
        </w:rPr>
      </w:pPr>
    </w:p>
    <w:p>
      <w:pPr>
        <w:pStyle w:val="9"/>
        <w:overflowPunct/>
        <w:autoSpaceDE/>
        <w:autoSpaceDN/>
        <w:adjustRightInd/>
        <w:spacing w:line="360" w:lineRule="auto"/>
        <w:ind w:firstLine="560" w:firstLineChars="200"/>
        <w:jc w:val="center"/>
        <w:textAlignment w:val="auto"/>
        <w:rPr>
          <w:rFonts w:hint="eastAsia" w:ascii="Arial" w:hAnsi="Arial" w:eastAsia="宋体"/>
          <w:b w:val="0"/>
          <w:bCs w:val="0"/>
          <w:sz w:val="28"/>
        </w:rPr>
      </w:pPr>
    </w:p>
    <w:p>
      <w:pPr>
        <w:pStyle w:val="9"/>
        <w:overflowPunct/>
        <w:autoSpaceDE/>
        <w:autoSpaceDN/>
        <w:adjustRightInd/>
        <w:spacing w:line="360" w:lineRule="auto"/>
        <w:ind w:firstLine="560" w:firstLineChars="200"/>
        <w:jc w:val="center"/>
        <w:textAlignment w:val="auto"/>
        <w:rPr>
          <w:rFonts w:hint="eastAsia" w:ascii="Arial" w:hAnsi="Arial" w:eastAsia="宋体"/>
          <w:b w:val="0"/>
          <w:bCs w:val="0"/>
          <w:sz w:val="28"/>
        </w:rPr>
      </w:pPr>
    </w:p>
    <w:p>
      <w:pPr>
        <w:pStyle w:val="9"/>
        <w:overflowPunct/>
        <w:autoSpaceDE/>
        <w:autoSpaceDN/>
        <w:adjustRightInd/>
        <w:spacing w:line="360" w:lineRule="auto"/>
        <w:ind w:firstLine="480" w:firstLineChars="200"/>
        <w:jc w:val="center"/>
        <w:textAlignment w:val="auto"/>
        <w:rPr>
          <w:rFonts w:hint="eastAsia" w:ascii="Arial" w:hAnsi="Arial" w:eastAsia="宋体"/>
          <w:b w:val="0"/>
          <w:bCs w:val="0"/>
          <w:sz w:val="24"/>
          <w:szCs w:val="24"/>
        </w:rPr>
      </w:pPr>
      <w:r>
        <w:rPr>
          <w:rFonts w:hint="eastAsia" w:ascii="Arial" w:hAnsi="Arial" w:eastAsia="宋体"/>
          <w:b w:val="0"/>
          <w:bCs w:val="0"/>
          <w:sz w:val="24"/>
          <w:szCs w:val="24"/>
        </w:rPr>
        <w:t>图1</w:t>
      </w:r>
    </w:p>
    <w:p>
      <w:pPr>
        <w:pStyle w:val="9"/>
        <w:overflowPunct/>
        <w:autoSpaceDE/>
        <w:autoSpaceDN/>
        <w:adjustRightInd/>
        <w:spacing w:line="360" w:lineRule="auto"/>
        <w:ind w:firstLine="560" w:firstLineChars="200"/>
        <w:jc w:val="center"/>
        <w:textAlignment w:val="auto"/>
        <w:rPr>
          <w:rFonts w:hint="eastAsia" w:ascii="Arial" w:hAnsi="Arial" w:eastAsia="宋体"/>
          <w:b w:val="0"/>
          <w:bCs w:val="0"/>
          <w:sz w:val="28"/>
        </w:rPr>
      </w:pPr>
    </w:p>
    <w:p>
      <w:pPr>
        <w:pStyle w:val="10"/>
        <w:spacing w:line="360" w:lineRule="auto"/>
        <w:jc w:val="center"/>
        <w:rPr>
          <w:rFonts w:hint="eastAsia" w:ascii="Arial" w:hAnsi="Arial" w:eastAsia="宋体"/>
          <w:b w:val="0"/>
          <w:bCs w:val="0"/>
          <w:sz w:val="28"/>
          <w:lang w:eastAsia="zh-CN"/>
        </w:rPr>
      </w:pPr>
    </w:p>
    <w:p>
      <w:pPr>
        <w:pStyle w:val="10"/>
        <w:spacing w:line="360" w:lineRule="auto"/>
        <w:jc w:val="center"/>
        <w:rPr>
          <w:rFonts w:hint="eastAsia" w:ascii="Arial" w:hAnsi="Arial" w:eastAsia="宋体"/>
          <w:b w:val="0"/>
          <w:bCs w:val="0"/>
          <w:sz w:val="28"/>
          <w:lang w:eastAsia="zh-CN"/>
        </w:rPr>
      </w:pPr>
    </w:p>
    <w:p>
      <w:pPr>
        <w:pStyle w:val="10"/>
        <w:spacing w:line="360" w:lineRule="auto"/>
        <w:jc w:val="center"/>
      </w:pPr>
    </w:p>
    <w:p>
      <w:pPr>
        <w:pStyle w:val="10"/>
        <w:spacing w:line="360" w:lineRule="auto"/>
        <w:jc w:val="center"/>
        <w:rPr>
          <w:rFonts w:hint="eastAsia" w:ascii="Arial" w:hAnsi="Arial" w:eastAsiaTheme="minorEastAsia"/>
          <w:b w:val="0"/>
          <w:bCs w:val="0"/>
          <w:sz w:val="28"/>
          <w:lang w:eastAsia="zh-CN"/>
        </w:rPr>
      </w:pPr>
      <w:r>
        <w:rPr>
          <w:rFonts w:hint="eastAsia" w:ascii="Arial" w:hAnsi="Arial" w:eastAsiaTheme="minorEastAsia"/>
          <w:b w:val="0"/>
          <w:bCs w:val="0"/>
          <w:sz w:val="28"/>
          <w:lang w:eastAsia="zh-CN"/>
        </w:rPr>
        <w:drawing>
          <wp:inline distT="0" distB="0" distL="114300" distR="114300">
            <wp:extent cx="5266690" cy="5111115"/>
            <wp:effectExtent l="0" t="0" r="10160" b="13335"/>
            <wp:docPr id="11" name="图片 11" descr="岩心制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岩心制备-2"/>
                    <pic:cNvPicPr>
                      <a:picLocks noChangeAspect="1"/>
                    </pic:cNvPicPr>
                  </pic:nvPicPr>
                  <pic:blipFill>
                    <a:blip r:embed="rId15"/>
                    <a:srcRect t="22367"/>
                    <a:stretch>
                      <a:fillRect/>
                    </a:stretch>
                  </pic:blipFill>
                  <pic:spPr>
                    <a:xfrm>
                      <a:off x="0" y="0"/>
                      <a:ext cx="5266690" cy="5111115"/>
                    </a:xfrm>
                    <a:prstGeom prst="rect">
                      <a:avLst/>
                    </a:prstGeom>
                  </pic:spPr>
                </pic:pic>
              </a:graphicData>
            </a:graphic>
          </wp:inline>
        </w:drawing>
      </w:r>
    </w:p>
    <w:p>
      <w:pPr>
        <w:pStyle w:val="10"/>
        <w:spacing w:line="360" w:lineRule="auto"/>
        <w:jc w:val="center"/>
        <w:rPr>
          <w:rFonts w:hint="eastAsia" w:ascii="Arial" w:hAnsi="Arial" w:eastAsia="宋体"/>
          <w:b w:val="0"/>
          <w:bCs w:val="0"/>
          <w:sz w:val="28"/>
          <w:lang w:eastAsia="zh-CN"/>
        </w:rPr>
      </w:pPr>
    </w:p>
    <w:p>
      <w:pPr>
        <w:pStyle w:val="10"/>
        <w:spacing w:line="360" w:lineRule="auto"/>
        <w:jc w:val="center"/>
        <w:rPr>
          <w:rFonts w:hint="eastAsia" w:ascii="Arial" w:hAnsi="Arial" w:eastAsia="宋体"/>
          <w:b w:val="0"/>
          <w:bCs w:val="0"/>
          <w:sz w:val="24"/>
          <w:szCs w:val="24"/>
          <w:lang w:val="en-US" w:eastAsia="zh-CN"/>
        </w:rPr>
      </w:pPr>
      <w:r>
        <w:rPr>
          <w:rFonts w:hint="eastAsia" w:ascii="Arial" w:hAnsi="Arial" w:eastAsia="宋体"/>
          <w:b w:val="0"/>
          <w:bCs w:val="0"/>
          <w:sz w:val="24"/>
          <w:szCs w:val="24"/>
          <w:lang w:eastAsia="zh-CN"/>
        </w:rPr>
        <w:t>图</w:t>
      </w:r>
      <w:r>
        <w:rPr>
          <w:rFonts w:hint="eastAsia" w:ascii="Arial" w:hAnsi="Arial" w:eastAsia="宋体"/>
          <w:b w:val="0"/>
          <w:bCs w:val="0"/>
          <w:sz w:val="24"/>
          <w:szCs w:val="24"/>
          <w:lang w:val="en-US" w:eastAsia="zh-CN"/>
        </w:rPr>
        <w:t>2</w:t>
      </w:r>
    </w:p>
    <w:sectPr>
      <w:headerReference r:id="rId12"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7104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04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wps:txbx>
                    <wps:bodyPr wrap="none" lIns="0" tIns="0" rIns="0" bIns="0" upright="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GhpgkvTAAAABQEAAA8AAAAAAAAAAQAgAAAAIgAAAGRycy9kb3ducmV2LnhtbFBLAQIUABQA&#10;AAAIAIdO4kB1kBH6vAEAAGMDAAAOAAAAAAAAAAEAIAAAACIBAABkcnMvZTJvRG9jLnhtbFBLBQYA&#10;AAAABgAGAFkBAABQBQAAAAA=&#10;">
              <v:fill on="f" focussize="0,0"/>
              <v:stroke on="f" weight="1.25pt"/>
              <v:imagedata o:title=""/>
              <o:lock v:ext="edit" aspectratio="f"/>
              <v:textbox inset="0mm,0mm,0mm,0mm" style="mso-fit-shape-to-text:t;">
                <w:txbxContent>
                  <w:p>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snapToGrid w:val="0"/>
                            <w:ind w:firstLine="360"/>
                            <w:rPr>
                              <w:sz w:val="18"/>
                            </w:rPr>
                          </w:pP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GhpgkvTAAAABQEAAA8AAAAAAAAAAQAgAAAAIgAAAGRycy9kb3ducmV2LnhtbFBLAQIUABQA&#10;AAAIAIdO4kBT1y6svAEAAGMDAAAOAAAAAAAAAAEAIAAAACIBAABkcnMvZTJvRG9jLnhtbFBLBQYA&#10;AAAABgAGAFkBAABQBQAAAAA=&#10;">
              <v:fill on="f" focussize="0,0"/>
              <v:stroke on="f" weight="1.25pt"/>
              <v:imagedata o:title=""/>
              <o:lock v:ext="edit" aspectratio="f"/>
              <v:textbox inset="0mm,0mm,0mm,0mm" style="mso-fit-shape-to-text:t;">
                <w:txbxContent>
                  <w:p>
                    <w:pPr>
                      <w:snapToGrid w:val="0"/>
                      <w:ind w:firstLine="360"/>
                      <w:rPr>
                        <w:sz w:val="18"/>
                      </w:rPr>
                    </w:pP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snapToGrid w:val="0"/>
                            <w:ind w:firstLine="480"/>
                          </w:pP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GhpgkvTAAAABQEAAA8AAAAAAAAAAQAgAAAAIgAAAGRycy9kb3ducmV2LnhtbFBLAQIUABQA&#10;AAAIAIdO4kD9i8y4vAEAAGMDAAAOAAAAAAAAAAEAIAAAACIBAABkcnMvZTJvRG9jLnhtbFBLBQYA&#10;AAAABgAGAFkBAABQBQAAAAA=&#10;">
              <v:fill on="f" focussize="0,0"/>
              <v:stroke on="f" weight="1.25pt"/>
              <v:imagedata o:title=""/>
              <o:lock v:ext="edit" aspectratio="f"/>
              <v:textbox inset="0mm,0mm,0mm,0mm" style="mso-fit-shape-to-text:t;">
                <w:txbxContent>
                  <w:p>
                    <w:pPr>
                      <w:snapToGrid w:val="0"/>
                      <w:ind w:firstLine="480"/>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kern w:val="28"/>
        <w:sz w:val="32"/>
      </w:rPr>
    </w:pPr>
    <w:r>
      <w:rPr>
        <w:rFonts w:hint="eastAsia" w:ascii="宋体" w:hAnsi="宋体"/>
        <w:kern w:val="28"/>
        <w:sz w:val="32"/>
      </w:rPr>
      <w:t>说</w:t>
    </w:r>
    <w:r>
      <w:rPr>
        <w:rFonts w:hint="eastAsia" w:ascii="宋体" w:hAnsi="宋体"/>
        <w:kern w:val="28"/>
        <w:sz w:val="32"/>
        <w:lang w:val="en-US" w:eastAsia="zh-CN"/>
      </w:rPr>
      <w:t xml:space="preserve"> </w:t>
    </w:r>
    <w:r>
      <w:rPr>
        <w:rFonts w:hint="eastAsia" w:ascii="宋体" w:hAnsi="宋体"/>
        <w:kern w:val="28"/>
        <w:sz w:val="32"/>
      </w:rPr>
      <w:t>明</w:t>
    </w:r>
    <w:r>
      <w:rPr>
        <w:rFonts w:hint="eastAsia" w:ascii="宋体" w:hAnsi="宋体"/>
        <w:kern w:val="28"/>
        <w:sz w:val="32"/>
        <w:lang w:val="en-US" w:eastAsia="zh-CN"/>
      </w:rPr>
      <w:t xml:space="preserve"> </w:t>
    </w:r>
    <w:r>
      <w:rPr>
        <w:rFonts w:hint="eastAsia" w:ascii="宋体" w:hAnsi="宋体"/>
        <w:kern w:val="28"/>
        <w:sz w:val="32"/>
      </w:rPr>
      <w:t>书</w:t>
    </w:r>
    <w:r>
      <w:rPr>
        <w:rFonts w:hint="eastAsia" w:ascii="宋体" w:hAnsi="宋体"/>
        <w:kern w:val="28"/>
        <w:sz w:val="32"/>
        <w:lang w:val="en-US" w:eastAsia="zh-CN"/>
      </w:rPr>
      <w:t xml:space="preserve"> </w:t>
    </w:r>
    <w:r>
      <w:rPr>
        <w:rFonts w:hint="eastAsia" w:ascii="宋体" w:hAnsi="宋体"/>
        <w:kern w:val="28"/>
        <w:sz w:val="32"/>
      </w:rPr>
      <w:t>摘</w:t>
    </w:r>
    <w:r>
      <w:rPr>
        <w:rFonts w:hint="eastAsia" w:ascii="宋体" w:hAnsi="宋体"/>
        <w:kern w:val="28"/>
        <w:sz w:val="32"/>
        <w:lang w:val="en-US" w:eastAsia="zh-CN"/>
      </w:rPr>
      <w:t xml:space="preserve"> </w:t>
    </w:r>
    <w:r>
      <w:rPr>
        <w:rFonts w:hint="eastAsia" w:ascii="宋体" w:hAnsi="宋体"/>
        <w:kern w:val="28"/>
        <w:sz w:val="32"/>
      </w:rPr>
      <w:t>要</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kern w:val="28"/>
        <w:sz w:val="32"/>
      </w:rPr>
    </w:pPr>
    <w:r>
      <w:rPr>
        <w:rFonts w:hint="eastAsia" w:ascii="宋体" w:hAnsi="宋体"/>
        <w:kern w:val="28"/>
        <w:sz w:val="32"/>
      </w:rPr>
      <w:t>摘</w:t>
    </w:r>
    <w:r>
      <w:rPr>
        <w:rFonts w:hint="eastAsia" w:ascii="宋体" w:hAnsi="宋体"/>
        <w:kern w:val="28"/>
        <w:sz w:val="32"/>
        <w:lang w:val="en-US" w:eastAsia="zh-CN"/>
      </w:rPr>
      <w:t xml:space="preserve"> </w:t>
    </w:r>
    <w:r>
      <w:rPr>
        <w:rFonts w:hint="eastAsia" w:ascii="宋体" w:hAnsi="宋体"/>
        <w:kern w:val="28"/>
        <w:sz w:val="32"/>
      </w:rPr>
      <w:t>要</w:t>
    </w:r>
    <w:r>
      <w:rPr>
        <w:rFonts w:hint="eastAsia" w:ascii="宋体" w:hAnsi="宋体"/>
        <w:kern w:val="28"/>
        <w:sz w:val="32"/>
        <w:lang w:val="en-US" w:eastAsia="zh-CN"/>
      </w:rPr>
      <w:t xml:space="preserve"> </w:t>
    </w:r>
    <w:r>
      <w:rPr>
        <w:rFonts w:hint="eastAsia" w:ascii="宋体" w:hAnsi="宋体"/>
        <w:kern w:val="28"/>
        <w:sz w:val="32"/>
      </w:rPr>
      <w:t>附</w:t>
    </w:r>
    <w:r>
      <w:rPr>
        <w:rFonts w:hint="eastAsia" w:ascii="宋体" w:hAnsi="宋体"/>
        <w:kern w:val="28"/>
        <w:sz w:val="32"/>
        <w:lang w:val="en-US" w:eastAsia="zh-CN"/>
      </w:rPr>
      <w:t xml:space="preserve"> </w:t>
    </w:r>
    <w:r>
      <w:rPr>
        <w:rFonts w:hint="eastAsia" w:ascii="宋体" w:hAnsi="宋体"/>
        <w:kern w:val="28"/>
        <w:sz w:val="32"/>
      </w:rPr>
      <w:t>图</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kern w:val="28"/>
        <w:sz w:val="32"/>
      </w:rPr>
    </w:pPr>
    <w:r>
      <w:rPr>
        <w:rFonts w:hint="eastAsia" w:ascii="宋体" w:hAnsi="宋体"/>
        <w:kern w:val="28"/>
        <w:sz w:val="32"/>
      </w:rPr>
      <w:t>摘要附图</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kern w:val="28"/>
        <w:sz w:val="32"/>
      </w:rPr>
    </w:pPr>
    <w:r>
      <w:rPr>
        <w:rFonts w:hint="eastAsia" w:ascii="宋体" w:hAnsi="宋体"/>
        <w:kern w:val="28"/>
        <w:sz w:val="32"/>
      </w:rPr>
      <w:t>权</w:t>
    </w:r>
    <w:r>
      <w:rPr>
        <w:rFonts w:hint="eastAsia" w:ascii="宋体" w:hAnsi="宋体"/>
        <w:kern w:val="28"/>
        <w:sz w:val="32"/>
        <w:lang w:val="en-US" w:eastAsia="zh-CN"/>
      </w:rPr>
      <w:t xml:space="preserve"> </w:t>
    </w:r>
    <w:r>
      <w:rPr>
        <w:rFonts w:hint="eastAsia" w:ascii="宋体" w:hAnsi="宋体"/>
        <w:kern w:val="28"/>
        <w:sz w:val="32"/>
      </w:rPr>
      <w:t>利</w:t>
    </w:r>
    <w:r>
      <w:rPr>
        <w:rFonts w:hint="eastAsia" w:ascii="宋体" w:hAnsi="宋体"/>
        <w:kern w:val="28"/>
        <w:sz w:val="32"/>
        <w:lang w:val="en-US" w:eastAsia="zh-CN"/>
      </w:rPr>
      <w:t xml:space="preserve"> </w:t>
    </w:r>
    <w:r>
      <w:rPr>
        <w:rFonts w:hint="eastAsia" w:ascii="宋体" w:hAnsi="宋体"/>
        <w:kern w:val="28"/>
        <w:sz w:val="32"/>
      </w:rPr>
      <w:t>要</w:t>
    </w:r>
    <w:r>
      <w:rPr>
        <w:rFonts w:hint="eastAsia" w:ascii="宋体" w:hAnsi="宋体"/>
        <w:kern w:val="28"/>
        <w:sz w:val="32"/>
        <w:lang w:val="en-US" w:eastAsia="zh-CN"/>
      </w:rPr>
      <w:t xml:space="preserve"> </w:t>
    </w:r>
    <w:r>
      <w:rPr>
        <w:rFonts w:hint="eastAsia" w:ascii="宋体" w:hAnsi="宋体"/>
        <w:kern w:val="28"/>
        <w:sz w:val="32"/>
      </w:rPr>
      <w:t>求</w:t>
    </w:r>
    <w:r>
      <w:rPr>
        <w:rFonts w:hint="eastAsia" w:ascii="宋体" w:hAnsi="宋体"/>
        <w:kern w:val="28"/>
        <w:sz w:val="32"/>
        <w:lang w:val="en-US" w:eastAsia="zh-CN"/>
      </w:rPr>
      <w:t xml:space="preserve"> </w:t>
    </w:r>
    <w:r>
      <w:rPr>
        <w:rFonts w:hint="eastAsia" w:ascii="宋体" w:hAnsi="宋体"/>
        <w:kern w:val="28"/>
        <w:sz w:val="32"/>
      </w:rPr>
      <w:t>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kern w:val="28"/>
        <w:sz w:val="32"/>
      </w:rPr>
    </w:pPr>
    <w:r>
      <w:rPr>
        <w:rFonts w:hint="eastAsia" w:ascii="宋体" w:hAnsi="宋体"/>
        <w:kern w:val="28"/>
        <w:sz w:val="32"/>
      </w:rPr>
      <w:t>说</w:t>
    </w:r>
    <w:r>
      <w:rPr>
        <w:rFonts w:hint="eastAsia" w:ascii="宋体" w:hAnsi="宋体"/>
        <w:kern w:val="28"/>
        <w:sz w:val="32"/>
        <w:lang w:val="en-US" w:eastAsia="zh-CN"/>
      </w:rPr>
      <w:t xml:space="preserve"> </w:t>
    </w:r>
    <w:r>
      <w:rPr>
        <w:rFonts w:hint="eastAsia" w:ascii="宋体" w:hAnsi="宋体"/>
        <w:kern w:val="28"/>
        <w:sz w:val="32"/>
      </w:rPr>
      <w:t>明</w:t>
    </w:r>
    <w:r>
      <w:rPr>
        <w:rFonts w:hint="eastAsia" w:ascii="宋体" w:hAnsi="宋体"/>
        <w:kern w:val="28"/>
        <w:sz w:val="32"/>
        <w:lang w:val="en-US" w:eastAsia="zh-CN"/>
      </w:rPr>
      <w:t xml:space="preserve"> </w:t>
    </w:r>
    <w:r>
      <w:rPr>
        <w:rFonts w:hint="eastAsia" w:ascii="宋体" w:hAnsi="宋体"/>
        <w:kern w:val="28"/>
        <w:sz w:val="32"/>
      </w:rPr>
      <w:t>书</w:t>
    </w:r>
    <w:r>
      <w:rPr>
        <w:rFonts w:hint="eastAsia" w:ascii="宋体" w:hAnsi="宋体"/>
        <w:kern w:val="28"/>
        <w:sz w:val="32"/>
        <w:lang w:val="en-US" w:eastAsia="zh-CN"/>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kern w:val="28"/>
        <w:sz w:val="32"/>
      </w:rPr>
    </w:pPr>
    <w:r>
      <w:rPr>
        <w:rFonts w:hint="eastAsia" w:ascii="宋体" w:hAnsi="宋体"/>
        <w:kern w:val="28"/>
        <w:sz w:val="32"/>
      </w:rPr>
      <w:t>说</w:t>
    </w:r>
    <w:r>
      <w:rPr>
        <w:rFonts w:hint="eastAsia" w:ascii="宋体" w:hAnsi="宋体"/>
        <w:kern w:val="28"/>
        <w:sz w:val="32"/>
        <w:lang w:val="en-US" w:eastAsia="zh-CN"/>
      </w:rPr>
      <w:t xml:space="preserve"> </w:t>
    </w:r>
    <w:r>
      <w:rPr>
        <w:rFonts w:hint="eastAsia" w:ascii="宋体" w:hAnsi="宋体"/>
        <w:kern w:val="28"/>
        <w:sz w:val="32"/>
      </w:rPr>
      <w:t>明</w:t>
    </w:r>
    <w:r>
      <w:rPr>
        <w:rFonts w:hint="eastAsia" w:ascii="宋体" w:hAnsi="宋体"/>
        <w:kern w:val="28"/>
        <w:sz w:val="32"/>
        <w:lang w:val="en-US" w:eastAsia="zh-CN"/>
      </w:rPr>
      <w:t xml:space="preserve"> </w:t>
    </w:r>
    <w:r>
      <w:rPr>
        <w:rFonts w:hint="eastAsia" w:ascii="宋体" w:hAnsi="宋体"/>
        <w:kern w:val="28"/>
        <w:sz w:val="32"/>
      </w:rPr>
      <w:t>书</w:t>
    </w:r>
    <w:r>
      <w:rPr>
        <w:rFonts w:hint="eastAsia" w:ascii="宋体" w:hAnsi="宋体"/>
        <w:kern w:val="28"/>
        <w:sz w:val="32"/>
        <w:lang w:val="en-US" w:eastAsia="zh-CN"/>
      </w:rPr>
      <w:t xml:space="preserve"> 附 图</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DFC7C4"/>
    <w:multiLevelType w:val="singleLevel"/>
    <w:tmpl w:val="F4DFC7C4"/>
    <w:lvl w:ilvl="0" w:tentative="0">
      <w:start w:val="1"/>
      <w:numFmt w:val="decimal"/>
      <w:suff w:val="nothing"/>
      <w:lvlText w:val="%1、"/>
      <w:lvlJc w:val="left"/>
    </w:lvl>
  </w:abstractNum>
  <w:abstractNum w:abstractNumId="1">
    <w:nsid w:val="5C502C63"/>
    <w:multiLevelType w:val="singleLevel"/>
    <w:tmpl w:val="5C502C63"/>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E30E1E"/>
    <w:rsid w:val="00091204"/>
    <w:rsid w:val="000E4436"/>
    <w:rsid w:val="000F7107"/>
    <w:rsid w:val="0010466E"/>
    <w:rsid w:val="00186BAB"/>
    <w:rsid w:val="0028478E"/>
    <w:rsid w:val="00292EBB"/>
    <w:rsid w:val="002E5E6F"/>
    <w:rsid w:val="00484B8A"/>
    <w:rsid w:val="004A01FC"/>
    <w:rsid w:val="00677462"/>
    <w:rsid w:val="006F63E4"/>
    <w:rsid w:val="00813B97"/>
    <w:rsid w:val="00C47097"/>
    <w:rsid w:val="00F27D1E"/>
    <w:rsid w:val="00FB0CCF"/>
    <w:rsid w:val="011668FA"/>
    <w:rsid w:val="015E66FD"/>
    <w:rsid w:val="01D13559"/>
    <w:rsid w:val="021760DC"/>
    <w:rsid w:val="02477163"/>
    <w:rsid w:val="025D25AE"/>
    <w:rsid w:val="034572E8"/>
    <w:rsid w:val="04374B22"/>
    <w:rsid w:val="05D84371"/>
    <w:rsid w:val="06CD5758"/>
    <w:rsid w:val="07AC3885"/>
    <w:rsid w:val="082A7B65"/>
    <w:rsid w:val="08F91C17"/>
    <w:rsid w:val="093776C5"/>
    <w:rsid w:val="099F106F"/>
    <w:rsid w:val="09CE57DA"/>
    <w:rsid w:val="09F94CA0"/>
    <w:rsid w:val="0D757B59"/>
    <w:rsid w:val="0D804001"/>
    <w:rsid w:val="0FB966C9"/>
    <w:rsid w:val="0FE13BA1"/>
    <w:rsid w:val="0FFA60FE"/>
    <w:rsid w:val="11395992"/>
    <w:rsid w:val="13BB73F4"/>
    <w:rsid w:val="152730A4"/>
    <w:rsid w:val="16512891"/>
    <w:rsid w:val="17A737C6"/>
    <w:rsid w:val="1AE93EE4"/>
    <w:rsid w:val="1B26179D"/>
    <w:rsid w:val="1E3A68B4"/>
    <w:rsid w:val="1F5415AC"/>
    <w:rsid w:val="1F715D92"/>
    <w:rsid w:val="21FB5EC6"/>
    <w:rsid w:val="23693B00"/>
    <w:rsid w:val="24773E1E"/>
    <w:rsid w:val="253F561A"/>
    <w:rsid w:val="266806E8"/>
    <w:rsid w:val="26CC191B"/>
    <w:rsid w:val="26D37E32"/>
    <w:rsid w:val="26EE2299"/>
    <w:rsid w:val="273206B2"/>
    <w:rsid w:val="27E901AC"/>
    <w:rsid w:val="281F1A35"/>
    <w:rsid w:val="29EB7A80"/>
    <w:rsid w:val="2AC462F0"/>
    <w:rsid w:val="2AD97A6B"/>
    <w:rsid w:val="2AF40C5B"/>
    <w:rsid w:val="2B255E26"/>
    <w:rsid w:val="2B3F5DAA"/>
    <w:rsid w:val="2C1163BE"/>
    <w:rsid w:val="2D3240B0"/>
    <w:rsid w:val="2E197145"/>
    <w:rsid w:val="2E26537E"/>
    <w:rsid w:val="2E361771"/>
    <w:rsid w:val="2EC9333C"/>
    <w:rsid w:val="2F351C1A"/>
    <w:rsid w:val="2F5257DB"/>
    <w:rsid w:val="2FE5023E"/>
    <w:rsid w:val="311E7B23"/>
    <w:rsid w:val="319A0271"/>
    <w:rsid w:val="322C4356"/>
    <w:rsid w:val="32437711"/>
    <w:rsid w:val="32D82478"/>
    <w:rsid w:val="359752C9"/>
    <w:rsid w:val="35B02811"/>
    <w:rsid w:val="36517793"/>
    <w:rsid w:val="365A439B"/>
    <w:rsid w:val="36663D68"/>
    <w:rsid w:val="36A6733A"/>
    <w:rsid w:val="37037343"/>
    <w:rsid w:val="37A35CF1"/>
    <w:rsid w:val="37E60A8C"/>
    <w:rsid w:val="39265FEE"/>
    <w:rsid w:val="3CE5796C"/>
    <w:rsid w:val="3DD95DA9"/>
    <w:rsid w:val="3DE30E1E"/>
    <w:rsid w:val="3E801EE5"/>
    <w:rsid w:val="4020412A"/>
    <w:rsid w:val="412F6F7E"/>
    <w:rsid w:val="42283E60"/>
    <w:rsid w:val="42631564"/>
    <w:rsid w:val="42D56EBE"/>
    <w:rsid w:val="43940E21"/>
    <w:rsid w:val="43AF666C"/>
    <w:rsid w:val="4614622F"/>
    <w:rsid w:val="46206049"/>
    <w:rsid w:val="481D0454"/>
    <w:rsid w:val="483A65D2"/>
    <w:rsid w:val="48A24239"/>
    <w:rsid w:val="48A80E21"/>
    <w:rsid w:val="49282F29"/>
    <w:rsid w:val="49FD2DA9"/>
    <w:rsid w:val="4A997088"/>
    <w:rsid w:val="4AC24080"/>
    <w:rsid w:val="4B0D0269"/>
    <w:rsid w:val="4B607EFB"/>
    <w:rsid w:val="4D21312C"/>
    <w:rsid w:val="4DE611E3"/>
    <w:rsid w:val="4EF13F77"/>
    <w:rsid w:val="4EFC4385"/>
    <w:rsid w:val="4FFA4B1B"/>
    <w:rsid w:val="50AD2931"/>
    <w:rsid w:val="52451D09"/>
    <w:rsid w:val="52554330"/>
    <w:rsid w:val="538C3724"/>
    <w:rsid w:val="542E2862"/>
    <w:rsid w:val="556B10D6"/>
    <w:rsid w:val="55BE70ED"/>
    <w:rsid w:val="56E100BB"/>
    <w:rsid w:val="58C0209D"/>
    <w:rsid w:val="59434017"/>
    <w:rsid w:val="59D57959"/>
    <w:rsid w:val="5A3C248F"/>
    <w:rsid w:val="5BA71AED"/>
    <w:rsid w:val="5BB242B0"/>
    <w:rsid w:val="5C5E30AE"/>
    <w:rsid w:val="5C627FA1"/>
    <w:rsid w:val="5F5611B4"/>
    <w:rsid w:val="5FAF6AA5"/>
    <w:rsid w:val="610E5E71"/>
    <w:rsid w:val="6182121E"/>
    <w:rsid w:val="61F5102F"/>
    <w:rsid w:val="621533C2"/>
    <w:rsid w:val="625470A4"/>
    <w:rsid w:val="63C64ADF"/>
    <w:rsid w:val="653626F5"/>
    <w:rsid w:val="6641752D"/>
    <w:rsid w:val="66C14039"/>
    <w:rsid w:val="67D76F56"/>
    <w:rsid w:val="68314791"/>
    <w:rsid w:val="68A66C9B"/>
    <w:rsid w:val="68C95267"/>
    <w:rsid w:val="68CC30A6"/>
    <w:rsid w:val="691E2971"/>
    <w:rsid w:val="6A5F0301"/>
    <w:rsid w:val="6B3A2153"/>
    <w:rsid w:val="6C23074D"/>
    <w:rsid w:val="6D1453A5"/>
    <w:rsid w:val="6D535020"/>
    <w:rsid w:val="6DCD2067"/>
    <w:rsid w:val="6E2C6FF1"/>
    <w:rsid w:val="6E367FA1"/>
    <w:rsid w:val="6F546160"/>
    <w:rsid w:val="6F8F0B30"/>
    <w:rsid w:val="71AF79C6"/>
    <w:rsid w:val="720B4AFF"/>
    <w:rsid w:val="729A217F"/>
    <w:rsid w:val="73566D03"/>
    <w:rsid w:val="74D4633B"/>
    <w:rsid w:val="75A03406"/>
    <w:rsid w:val="77E70F96"/>
    <w:rsid w:val="78201084"/>
    <w:rsid w:val="78276F25"/>
    <w:rsid w:val="78C87060"/>
    <w:rsid w:val="78EF3CEA"/>
    <w:rsid w:val="79176953"/>
    <w:rsid w:val="798C2A60"/>
    <w:rsid w:val="79B06778"/>
    <w:rsid w:val="7C266462"/>
    <w:rsid w:val="7C2B0786"/>
    <w:rsid w:val="7C373C2F"/>
    <w:rsid w:val="7E76161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È±Ê¡ÎÄ±¾"/>
    <w:basedOn w:val="1"/>
    <w:qFormat/>
    <w:uiPriority w:val="0"/>
    <w:pPr>
      <w:widowControl/>
      <w:overflowPunct w:val="0"/>
      <w:autoSpaceDE w:val="0"/>
      <w:autoSpaceDN w:val="0"/>
      <w:adjustRightInd w:val="0"/>
      <w:jc w:val="left"/>
      <w:textAlignment w:val="baseline"/>
    </w:pPr>
    <w:rPr>
      <w:rFonts w:eastAsia="宋体"/>
      <w:kern w:val="0"/>
      <w:sz w:val="24"/>
    </w:rPr>
  </w:style>
  <w:style w:type="paragraph" w:customStyle="1" w:styleId="10">
    <w:name w:val="p0"/>
    <w:basedOn w:val="1"/>
    <w:qFormat/>
    <w:uiPriority w:val="0"/>
    <w:pPr>
      <w:widowControl/>
    </w:pPr>
    <w:rPr>
      <w:rFonts w:ascii="宋体" w:hAnsi="宋体" w:cs="宋体"/>
      <w:b/>
      <w:bCs/>
      <w:kern w:val="0"/>
    </w:rPr>
  </w:style>
  <w:style w:type="character" w:customStyle="1" w:styleId="11">
    <w:name w:val="批注框文本 Char"/>
    <w:basedOn w:val="8"/>
    <w:link w:val="3"/>
    <w:qFormat/>
    <w:uiPriority w:val="0"/>
    <w:rPr>
      <w:rFonts w:asciiTheme="minorHAnsi" w:hAnsiTheme="minorHAnsi" w:eastAsiaTheme="minorEastAsia" w:cstheme="minorBidi"/>
      <w:kern w:val="2"/>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jpeg"/><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FAD8E8-40F9-4880-9117-B8A6C84FBC9D}">
  <ds:schemaRefs/>
</ds:datastoreItem>
</file>

<file path=docProps/app.xml><?xml version="1.0" encoding="utf-8"?>
<Properties xmlns="http://schemas.openxmlformats.org/officeDocument/2006/extended-properties" xmlns:vt="http://schemas.openxmlformats.org/officeDocument/2006/docPropsVTypes">
  <Template>0</Template>
  <Company>Microsoft</Company>
  <Pages>9</Pages>
  <Words>4105</Words>
  <Characters>285</Characters>
  <Lines>2</Lines>
  <Paragraphs>8</Paragraphs>
  <TotalTime>17</TotalTime>
  <ScaleCrop>false</ScaleCrop>
  <LinksUpToDate>false</LinksUpToDate>
  <CharactersWithSpaces>4382</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2018-11-23T11:53:00Z</dcterms:created>
  <dc:creator>机械鱼人</dc:creator>
  <cp:lastModifiedBy>机械鱼人</cp:lastModifiedBy>
  <cp:lastPrinted>2019-05-29T06:08:46Z</cp:lastPrinted>
  <dcterms:modified xsi:type="dcterms:W3CDTF">2019-05-29T06:09:00Z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y fmtid="{D5CDD505-2E9C-101B-9397-08002B2CF9AE}" pid="3" name="KSORubyTemplateID" linkTarget="0">
    <vt:lpwstr>6</vt:lpwstr>
  </property>
</Properties>
</file>