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480" w:firstLineChars="200"/>
        <w:rPr>
          <w:rFonts w:hint="eastAsia" w:ascii="宋体" w:hAnsi="宋体" w:eastAsia="宋体" w:cs="宋体"/>
          <w:sz w:val="24"/>
          <w:szCs w:val="24"/>
          <w:lang w:eastAsia="zh-CN"/>
        </w:rPr>
      </w:pPr>
      <w:r>
        <w:rPr>
          <w:rFonts w:ascii="Times New Roman" w:hAnsi="Times New Roman" w:eastAsia="宋体" w:cs="Times New Roman"/>
          <w:sz w:val="24"/>
          <w:szCs w:val="24"/>
        </w:rPr>
        <w:t>本</w:t>
      </w:r>
      <w:r>
        <w:rPr>
          <w:rFonts w:hint="eastAsia" w:ascii="Times New Roman" w:hAnsi="Times New Roman" w:eastAsia="宋体" w:cs="Times New Roman"/>
          <w:sz w:val="24"/>
          <w:szCs w:val="24"/>
          <w:lang w:eastAsia="zh-CN"/>
        </w:rPr>
        <w:t>实用新型</w:t>
      </w:r>
      <w:r>
        <w:rPr>
          <w:rFonts w:ascii="Times New Roman" w:hAnsi="Times New Roman" w:eastAsia="宋体" w:cs="Times New Roman"/>
          <w:sz w:val="24"/>
          <w:szCs w:val="24"/>
        </w:rPr>
        <w:t>提供了</w:t>
      </w:r>
      <w:r>
        <w:rPr>
          <w:rFonts w:hint="eastAsia" w:ascii="Times New Roman" w:hAnsi="Times New Roman" w:eastAsia="宋体" w:cs="Times New Roman"/>
          <w:sz w:val="24"/>
          <w:szCs w:val="24"/>
        </w:rPr>
        <w:t>一种气藏驱气实验装置，</w:t>
      </w:r>
      <w:r>
        <w:rPr>
          <w:rFonts w:hint="eastAsia" w:ascii="Times New Roman" w:hAnsi="Times New Roman" w:eastAsia="宋体" w:cs="Times New Roman"/>
          <w:sz w:val="24"/>
          <w:szCs w:val="24"/>
          <w:lang w:val="en-US" w:eastAsia="zh-CN"/>
        </w:rPr>
        <w:t>包括</w:t>
      </w:r>
      <w:r>
        <w:rPr>
          <w:rFonts w:hint="eastAsia" w:ascii="Times New Roman" w:hAnsi="Times New Roman" w:eastAsia="宋体" w:cs="Times New Roman"/>
          <w:sz w:val="24"/>
          <w:szCs w:val="24"/>
        </w:rPr>
        <w:t>依次连接的原料气瓶、活塞容器、岩心夹持器，回压控制装置、储气室</w:t>
      </w:r>
      <w:r>
        <w:rPr>
          <w:rFonts w:hint="eastAsia" w:ascii="Times New Roman" w:hAnsi="Times New Roman" w:eastAsia="宋体" w:cs="Times New Roman"/>
          <w:sz w:val="24"/>
          <w:szCs w:val="24"/>
          <w:lang w:val="en-US" w:eastAsia="zh-CN"/>
        </w:rPr>
        <w:t>和量筒</w:t>
      </w:r>
      <w:r>
        <w:rPr>
          <w:rFonts w:hint="eastAsia"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岩心夹持器位于带有循环水泵的恒温水浴箱中，储气室位于温度控制装置内，储气室上部连接有由引风机和红外气体组分分析仪串联的</w:t>
      </w:r>
      <w:r>
        <w:rPr>
          <w:rFonts w:hint="eastAsia" w:ascii="宋体" w:hAnsi="宋体" w:eastAsia="宋体" w:cs="宋体"/>
          <w:sz w:val="24"/>
          <w:szCs w:val="24"/>
          <w:lang w:val="en-US" w:eastAsia="zh-CN"/>
        </w:rPr>
        <w:t>气体组分分析装置，活塞容器驱动端与平流泵出口连通且连通管线上还设置有回流管线，回流管线上设置有液压压力控制装置，本装置通过排水法计量气体体积，测量时气体组分不损耗且温度恒定，误差小；平流泵出口设置有液压压力控制装置，利于平流泵的长期稳定运行和泵出口压力调节。</w:t>
      </w:r>
    </w:p>
    <w:p>
      <w:pPr>
        <w:spacing w:line="360" w:lineRule="auto"/>
        <w:rPr>
          <w:rFonts w:ascii="Arial" w:hAnsi="Arial" w:eastAsia="宋体" w:cs="宋体"/>
          <w:color w:val="FF0000"/>
          <w:sz w:val="24"/>
          <w:lang w:val="en-US"/>
        </w:rPr>
        <w:sectPr>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pPr>
        <w:spacing w:line="360" w:lineRule="auto"/>
        <w:rPr>
          <w:rFonts w:hint="eastAsia" w:ascii="Arial" w:hAnsi="Arial" w:eastAsia="宋体"/>
          <w:lang w:val="en-US" w:eastAsia="zh-CN"/>
        </w:rPr>
        <w:sectPr>
          <w:headerReference r:id="rId5" w:type="default"/>
          <w:type w:val="continuous"/>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pPr>
        <w:spacing w:line="360" w:lineRule="auto"/>
        <w:rPr>
          <w:rFonts w:hint="eastAsia" w:ascii="Arial" w:hAnsi="Arial" w:eastAsia="宋体"/>
          <w:lang w:val="en-US" w:eastAsia="zh-CN"/>
        </w:rPr>
        <w:sectPr>
          <w:footerReference r:id="rId6"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pPr>
      <w:r>
        <w:rPr>
          <w:rFonts w:hint="eastAsia" w:ascii="Arial" w:hAnsi="Arial" w:eastAsia="宋体"/>
          <w:lang w:val="en-US" w:eastAsia="zh-CN"/>
        </w:rPr>
        <w:t xml:space="preserve"> </w:t>
      </w:r>
    </w:p>
    <w:p>
      <w:pPr>
        <w:spacing w:line="360" w:lineRule="auto"/>
        <w:rPr>
          <w:rFonts w:hint="eastAsia" w:ascii="Arial" w:hAnsi="Arial" w:eastAsia="宋体"/>
          <w:lang w:eastAsia="zh-CN"/>
        </w:rPr>
      </w:pPr>
      <w:r>
        <w:rPr>
          <w:rFonts w:hint="eastAsia" w:ascii="Arial" w:hAnsi="Arial" w:eastAsia="宋体"/>
          <w:lang w:eastAsia="zh-CN"/>
        </w:rPr>
        <w:drawing>
          <wp:inline distT="0" distB="0" distL="114300" distR="114300">
            <wp:extent cx="5105400" cy="5039995"/>
            <wp:effectExtent l="0" t="0" r="0" b="8255"/>
            <wp:docPr id="7" name="图片 7" descr="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123"/>
                    <pic:cNvPicPr>
                      <a:picLocks noChangeAspect="1"/>
                    </pic:cNvPicPr>
                  </pic:nvPicPr>
                  <pic:blipFill>
                    <a:blip r:embed="rId14"/>
                    <a:srcRect l="8671" r="10296"/>
                    <a:stretch>
                      <a:fillRect/>
                    </a:stretch>
                  </pic:blipFill>
                  <pic:spPr>
                    <a:xfrm>
                      <a:off x="0" y="0"/>
                      <a:ext cx="5105400" cy="5039995"/>
                    </a:xfrm>
                    <a:prstGeom prst="rect">
                      <a:avLst/>
                    </a:prstGeom>
                  </pic:spPr>
                </pic:pic>
              </a:graphicData>
            </a:graphic>
          </wp:inline>
        </w:drawing>
      </w:r>
    </w:p>
    <w:p>
      <w:pPr>
        <w:rPr>
          <w:rFonts w:ascii="Arial" w:hAnsi="Arial" w:eastAsia="宋体"/>
        </w:rPr>
        <w:sectPr>
          <w:type w:val="continuous"/>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pPr>
        <w:rPr>
          <w:rFonts w:hint="eastAsia" w:ascii="Arial" w:hAnsi="Arial" w:eastAsia="宋体"/>
          <w:lang w:eastAsia="zh-CN"/>
        </w:rPr>
      </w:pPr>
    </w:p>
    <w:p>
      <w:pPr>
        <w:rPr>
          <w:rFonts w:hint="eastAsia" w:ascii="Arial" w:hAnsi="Arial" w:eastAsia="宋体"/>
          <w:lang w:eastAsia="zh-CN"/>
        </w:rPr>
      </w:pPr>
    </w:p>
    <w:p>
      <w:pPr>
        <w:rPr>
          <w:rFonts w:hint="eastAsia" w:ascii="Arial" w:hAnsi="Arial" w:eastAsia="宋体"/>
          <w:lang w:eastAsia="zh-CN"/>
        </w:rPr>
      </w:pPr>
    </w:p>
    <w:p>
      <w:pPr>
        <w:rPr>
          <w:rFonts w:hint="eastAsia" w:ascii="Arial" w:hAnsi="Arial" w:eastAsia="宋体"/>
          <w:lang w:eastAsia="zh-CN"/>
        </w:rPr>
      </w:pPr>
    </w:p>
    <w:p>
      <w:pPr>
        <w:rPr>
          <w:rFonts w:hint="eastAsia" w:ascii="Arial" w:hAnsi="Arial" w:eastAsia="宋体"/>
          <w:lang w:eastAsia="zh-CN"/>
        </w:rPr>
      </w:pPr>
    </w:p>
    <w:p>
      <w:pPr>
        <w:rPr>
          <w:rFonts w:hint="eastAsia" w:ascii="Arial" w:hAnsi="Arial" w:eastAsia="宋体"/>
          <w:lang w:eastAsia="zh-CN"/>
        </w:rPr>
        <w:sectPr>
          <w:headerReference r:id="rId7" w:type="default"/>
          <w:type w:val="continuous"/>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pPr>
        <w:numPr>
          <w:ilvl w:val="0"/>
          <w:numId w:val="1"/>
        </w:numPr>
        <w:spacing w:line="360" w:lineRule="auto"/>
        <w:ind w:firstLine="480" w:firstLineChars="200"/>
        <w:rPr>
          <w:rFonts w:hint="eastAsia" w:ascii="Arial" w:hAnsi="Arial" w:eastAsia="宋体"/>
          <w:sz w:val="24"/>
          <w:lang w:eastAsia="zh-CN"/>
        </w:rPr>
      </w:pPr>
      <w:r>
        <w:rPr>
          <w:rFonts w:hint="eastAsia" w:ascii="宋体" w:hAnsi="宋体" w:eastAsia="宋体" w:cs="宋体"/>
          <w:sz w:val="24"/>
          <w:szCs w:val="24"/>
          <w:lang w:val="en-US" w:eastAsia="zh-CN"/>
        </w:rPr>
        <w:t>一种气藏驱气实验装置，包括依次连接的原料气瓶、活塞容器和岩心夹持器，所述岩心夹持器位于恒温水浴箱中，所述活塞容器的驱动端与平流泵出口连通，所述平流泵入口与储液槽连通，其特征在于，</w:t>
      </w:r>
      <w:r>
        <w:rPr>
          <w:rFonts w:hint="eastAsia" w:ascii="Times New Roman" w:hAnsi="Times New Roman" w:cs="Times New Roman"/>
          <w:sz w:val="24"/>
          <w:szCs w:val="24"/>
          <w:lang w:val="en-US" w:eastAsia="zh-CN"/>
        </w:rPr>
        <w:t>所述活塞容器非驱动端与岩心夹持器入口之间设置有手阀，</w:t>
      </w:r>
      <w:r>
        <w:rPr>
          <w:rFonts w:hint="eastAsia" w:ascii="宋体" w:hAnsi="宋体" w:eastAsia="宋体" w:cs="宋体"/>
          <w:sz w:val="24"/>
          <w:szCs w:val="24"/>
          <w:lang w:val="en-US" w:eastAsia="zh-CN"/>
        </w:rPr>
        <w:t>所述活塞容器上设置有刻度，所述活塞容器非驱动端还设置有压力传感器和温度传感器，所述原料气瓶并联设置有多个且均与活塞容器非驱动端连通；所述平流泵出口连接有回流管线，所述回流管线上设置有液压压力控制装置；所述岩心夹持器上还连接有围压泵，所述恒温水浴箱还连接有热水循环系统，所述热水循环系统由出、入口均与恒温水浴箱连通的循环水泵和管线组成；所述岩心夹持器出口与储气室连通且连通管线上设置有回压控制装置，所述岩心夹持器出口与回压控制装置之间连接有压力传感器和抽真空装置，所述储气室底部连接有橡胶管且橡胶管另一端位于量筒入口；所述储气室位于温度控制装置内，所述储气室顶部还设置有气体组分分析装置，所述气体组分分析装置由依次连接的引风机、红外气体组分分析仪组成，所述引风机入口与储气室顶部连通且所述连通管上设置有温度传感器，所述红外气体组分分析仪出口与储气室连通。</w:t>
      </w:r>
    </w:p>
    <w:p>
      <w:pPr>
        <w:numPr>
          <w:ilvl w:val="0"/>
          <w:numId w:val="1"/>
        </w:numPr>
        <w:spacing w:line="360" w:lineRule="auto"/>
        <w:ind w:firstLine="480" w:firstLineChars="200"/>
        <w:rPr>
          <w:rFonts w:hint="eastAsia" w:ascii="Arial" w:hAnsi="Arial" w:eastAsia="宋体"/>
          <w:sz w:val="24"/>
          <w:lang w:eastAsia="zh-CN"/>
        </w:rPr>
      </w:pPr>
      <w:r>
        <w:rPr>
          <w:rFonts w:hint="eastAsia" w:ascii="Times New Roman" w:hAnsi="Times New Roman" w:cs="Times New Roman"/>
          <w:sz w:val="24"/>
          <w:szCs w:val="24"/>
          <w:lang w:val="en-US" w:eastAsia="zh-CN"/>
        </w:rPr>
        <w:t>根据权利要求1所述的</w:t>
      </w:r>
      <w:r>
        <w:rPr>
          <w:rFonts w:hint="eastAsia" w:ascii="宋体" w:hAnsi="宋体" w:eastAsia="宋体" w:cs="宋体"/>
          <w:sz w:val="24"/>
          <w:szCs w:val="24"/>
          <w:lang w:val="en-US" w:eastAsia="zh-CN"/>
        </w:rPr>
        <w:t>一种气藏驱气实验装置</w:t>
      </w:r>
      <w:r>
        <w:rPr>
          <w:rFonts w:hint="eastAsia" w:ascii="Times New Roman" w:hAnsi="Times New Roman" w:cs="Times New Roman"/>
          <w:sz w:val="24"/>
          <w:szCs w:val="24"/>
          <w:lang w:val="en-US" w:eastAsia="zh-CN"/>
        </w:rPr>
        <w:t>，其特征在于，</w:t>
      </w:r>
      <w:r>
        <w:rPr>
          <w:rFonts w:hint="eastAsia" w:ascii="宋体" w:hAnsi="宋体" w:eastAsia="宋体" w:cs="宋体"/>
          <w:sz w:val="24"/>
          <w:szCs w:val="24"/>
          <w:lang w:val="en-US" w:eastAsia="zh-CN"/>
        </w:rPr>
        <w:t>所述红外气体组分分析仪出口与储气室顶部连通且连接管线伸入储气室下部。</w:t>
      </w:r>
    </w:p>
    <w:p>
      <w:pPr>
        <w:numPr>
          <w:ilvl w:val="0"/>
          <w:numId w:val="1"/>
        </w:numPr>
        <w:spacing w:line="360" w:lineRule="auto"/>
        <w:ind w:firstLine="480" w:firstLineChars="200"/>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根据权利要求1所述的一种气藏驱气实验装置，其特征在于，所述液压压力控制装置为自力式压力调节阀、电动压力调节阀、气动压力调节阀中的一种。</w:t>
      </w:r>
    </w:p>
    <w:p>
      <w:pPr>
        <w:numPr>
          <w:ilvl w:val="0"/>
          <w:numId w:val="1"/>
        </w:numPr>
        <w:spacing w:line="360" w:lineRule="auto"/>
        <w:ind w:firstLine="480" w:firstLineChars="200"/>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根据权利要求1所述的一种气藏驱气实验装置，其特征在于，所述活塞容器非驱动端与岩心夹持器入口之间设置有单向阀。</w:t>
      </w:r>
    </w:p>
    <w:p>
      <w:pPr>
        <w:widowControl w:val="0"/>
        <w:numPr>
          <w:ilvl w:val="0"/>
          <w:numId w:val="0"/>
        </w:numPr>
        <w:spacing w:line="360" w:lineRule="auto"/>
        <w:jc w:val="both"/>
        <w:rPr>
          <w:rFonts w:hint="eastAsia" w:ascii="Times New Roman" w:hAnsi="Times New Roman" w:cs="Times New Roman"/>
          <w:sz w:val="24"/>
          <w:szCs w:val="24"/>
          <w:lang w:val="en-US" w:eastAsia="zh-CN"/>
        </w:rPr>
      </w:pPr>
    </w:p>
    <w:p>
      <w:pPr>
        <w:numPr>
          <w:ilvl w:val="0"/>
          <w:numId w:val="0"/>
        </w:numPr>
        <w:spacing w:line="360" w:lineRule="auto"/>
        <w:rPr>
          <w:rFonts w:hint="eastAsia" w:ascii="Arial" w:hAnsi="Arial" w:eastAsia="宋体"/>
          <w:sz w:val="24"/>
          <w:lang w:eastAsia="zh-CN"/>
        </w:rPr>
      </w:pPr>
    </w:p>
    <w:p>
      <w:pPr>
        <w:widowControl w:val="0"/>
        <w:numPr>
          <w:ilvl w:val="0"/>
          <w:numId w:val="0"/>
        </w:numPr>
        <w:spacing w:line="360" w:lineRule="auto"/>
        <w:jc w:val="both"/>
        <w:rPr>
          <w:rFonts w:ascii="Arial" w:hAnsi="Arial" w:eastAsia="宋体"/>
          <w:sz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Arial" w:hAnsi="Arial" w:eastAsia="宋体"/>
          <w:sz w:val="24"/>
          <w:lang w:eastAsia="zh-CN"/>
        </w:rPr>
        <w:sectPr>
          <w:headerReference r:id="rId8" w:type="default"/>
          <w:footerReference r:id="rId9"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pPr>
    </w:p>
    <w:p>
      <w:pPr>
        <w:spacing w:line="440" w:lineRule="exact"/>
        <w:ind w:firstLine="0" w:firstLineChars="0"/>
        <w:jc w:val="center"/>
        <w:rPr>
          <w:rFonts w:hint="eastAsia" w:cs="Times New Roman" w:eastAsiaTheme="minorEastAsia"/>
          <w:b/>
          <w:sz w:val="32"/>
          <w:szCs w:val="32"/>
          <w:lang w:val="en-US" w:eastAsia="zh-CN"/>
        </w:rPr>
      </w:pPr>
      <w:r>
        <w:rPr>
          <w:rFonts w:hint="default" w:cs="Times New Roman"/>
          <w:b/>
          <w:bCs w:val="0"/>
          <w:sz w:val="24"/>
          <w:szCs w:val="24"/>
          <w:lang w:val="en-US" w:eastAsia="zh-CN"/>
        </w:rPr>
        <w:t>一种</w:t>
      </w:r>
      <w:r>
        <w:rPr>
          <w:rFonts w:hint="eastAsia" w:cs="Times New Roman"/>
          <w:b/>
          <w:bCs w:val="0"/>
          <w:sz w:val="24"/>
          <w:szCs w:val="24"/>
          <w:lang w:val="en-US" w:eastAsia="zh-CN"/>
        </w:rPr>
        <w:t>气藏驱气实验装置</w:t>
      </w:r>
    </w:p>
    <w:p>
      <w:pPr>
        <w:spacing w:line="440" w:lineRule="exact"/>
        <w:ind w:firstLine="0" w:firstLineChars="0"/>
        <w:rPr>
          <w:rFonts w:hint="eastAsia" w:ascii="宋体" w:hAnsi="宋体" w:eastAsia="宋体" w:cs="宋体"/>
          <w:b/>
          <w:sz w:val="24"/>
          <w:szCs w:val="24"/>
        </w:rPr>
      </w:pPr>
      <w:r>
        <w:rPr>
          <w:rFonts w:hint="eastAsia" w:ascii="宋体" w:hAnsi="宋体" w:eastAsia="宋体" w:cs="宋体"/>
          <w:b/>
          <w:sz w:val="24"/>
          <w:szCs w:val="24"/>
        </w:rPr>
        <w:t>技术领域</w:t>
      </w:r>
    </w:p>
    <w:p>
      <w:pPr>
        <w:spacing w:line="440" w:lineRule="exact"/>
        <w:ind w:firstLine="480"/>
        <w:rPr>
          <w:rFonts w:hint="default" w:ascii="宋体" w:hAnsi="宋体" w:eastAsia="宋体" w:cs="宋体"/>
          <w:sz w:val="24"/>
          <w:szCs w:val="24"/>
          <w:lang w:val="en-US"/>
        </w:rPr>
      </w:pPr>
      <w:r>
        <w:rPr>
          <w:rFonts w:hint="eastAsia" w:ascii="宋体" w:hAnsi="宋体" w:eastAsia="宋体" w:cs="宋体"/>
          <w:sz w:val="24"/>
          <w:szCs w:val="24"/>
          <w:lang w:eastAsia="zh-CN"/>
        </w:rPr>
        <w:t>本发明属于油气田开发工程技术领域，特别涉及一种</w:t>
      </w:r>
      <w:r>
        <w:rPr>
          <w:rFonts w:hint="eastAsia" w:ascii="宋体" w:hAnsi="宋体" w:eastAsia="宋体" w:cs="宋体"/>
          <w:sz w:val="24"/>
          <w:szCs w:val="24"/>
          <w:lang w:val="en-US" w:eastAsia="zh-CN"/>
        </w:rPr>
        <w:t>气藏驱气实验装置。</w:t>
      </w:r>
    </w:p>
    <w:p>
      <w:pPr>
        <w:spacing w:line="440" w:lineRule="exact"/>
        <w:ind w:firstLine="0" w:firstLineChars="0"/>
        <w:rPr>
          <w:rFonts w:hint="eastAsia" w:ascii="宋体" w:hAnsi="宋体" w:eastAsia="宋体" w:cs="宋体"/>
          <w:b/>
          <w:sz w:val="24"/>
          <w:szCs w:val="24"/>
          <w:lang w:eastAsia="zh-CN"/>
        </w:rPr>
      </w:pPr>
      <w:r>
        <w:rPr>
          <w:rFonts w:hint="eastAsia" w:ascii="宋体" w:hAnsi="宋体" w:eastAsia="宋体" w:cs="宋体"/>
          <w:b/>
          <w:sz w:val="24"/>
          <w:szCs w:val="24"/>
        </w:rPr>
        <w:t>背景技术</w:t>
      </w:r>
    </w:p>
    <w:p>
      <w:pPr>
        <w:spacing w:line="440" w:lineRule="exact"/>
        <w:ind w:firstLine="480"/>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我国天然气资源丰富，</w:t>
      </w:r>
      <w:r>
        <w:rPr>
          <w:rFonts w:hint="default" w:ascii="Times New Roman" w:hAnsi="Times New Roman" w:cs="Times New Roman"/>
          <w:sz w:val="24"/>
          <w:szCs w:val="24"/>
          <w:lang w:val="en-US" w:eastAsia="zh-CN"/>
        </w:rPr>
        <w:t>常规开采</w:t>
      </w:r>
      <w:r>
        <w:rPr>
          <w:rFonts w:hint="eastAsia" w:ascii="Times New Roman" w:hAnsi="Times New Roman" w:cs="Times New Roman"/>
          <w:sz w:val="24"/>
          <w:szCs w:val="24"/>
          <w:lang w:val="en-US" w:eastAsia="zh-CN"/>
        </w:rPr>
        <w:t>过程中</w:t>
      </w:r>
      <w:r>
        <w:rPr>
          <w:rFonts w:hint="default" w:ascii="Times New Roman" w:hAnsi="Times New Roman" w:cs="Times New Roman"/>
          <w:sz w:val="24"/>
          <w:szCs w:val="24"/>
          <w:lang w:val="en-US" w:eastAsia="zh-CN"/>
        </w:rPr>
        <w:t>采用水力压裂技术，但此技术水资源耗费量大</w:t>
      </w:r>
      <w:r>
        <w:rPr>
          <w:rFonts w:hint="eastAsia" w:ascii="Times New Roman" w:hAnsi="Times New Roman" w:cs="Times New Roman"/>
          <w:sz w:val="24"/>
          <w:szCs w:val="24"/>
          <w:lang w:val="en-US" w:eastAsia="zh-CN"/>
        </w:rPr>
        <w:t>，</w:t>
      </w:r>
      <w:r>
        <w:rPr>
          <w:rFonts w:hint="default" w:ascii="Times New Roman" w:hAnsi="Times New Roman" w:cs="Times New Roman"/>
          <w:sz w:val="24"/>
          <w:szCs w:val="24"/>
          <w:lang w:val="en-US" w:eastAsia="zh-CN"/>
        </w:rPr>
        <w:t>为此人们开始研究并采用注气</w:t>
      </w:r>
      <w:r>
        <w:rPr>
          <w:rFonts w:hint="eastAsia" w:ascii="Times New Roman" w:hAnsi="Times New Roman" w:cs="Times New Roman"/>
          <w:sz w:val="24"/>
          <w:szCs w:val="24"/>
          <w:lang w:val="en-US" w:eastAsia="zh-CN"/>
        </w:rPr>
        <w:t>方式开采</w:t>
      </w:r>
      <w:r>
        <w:rPr>
          <w:rFonts w:hint="default" w:ascii="Times New Roman" w:hAnsi="Times New Roman" w:cs="Times New Roman"/>
          <w:sz w:val="24"/>
          <w:szCs w:val="24"/>
          <w:lang w:val="en-US" w:eastAsia="zh-CN"/>
        </w:rPr>
        <w:t>，与此同时，天然气气藏具有完整的地质构造、完整的圈闭，可以阻止气体的外溢，是良好的封存CO</w:t>
      </w:r>
      <w:r>
        <w:rPr>
          <w:rFonts w:hint="default" w:ascii="Times New Roman" w:hAnsi="Times New Roman" w:cs="Times New Roman"/>
          <w:sz w:val="24"/>
          <w:szCs w:val="24"/>
          <w:vertAlign w:val="subscript"/>
          <w:lang w:val="en-US" w:eastAsia="zh-CN"/>
        </w:rPr>
        <w:t>2</w:t>
      </w:r>
      <w:r>
        <w:rPr>
          <w:rFonts w:hint="default" w:ascii="Times New Roman" w:hAnsi="Times New Roman" w:cs="Times New Roman"/>
          <w:sz w:val="24"/>
          <w:szCs w:val="24"/>
          <w:lang w:val="en-US" w:eastAsia="zh-CN"/>
        </w:rPr>
        <w:t>的地下存气库。</w:t>
      </w:r>
      <w:r>
        <w:rPr>
          <w:rFonts w:hint="eastAsia" w:ascii="Times New Roman" w:hAnsi="Times New Roman" w:cs="Times New Roman"/>
          <w:sz w:val="24"/>
          <w:szCs w:val="24"/>
          <w:lang w:val="en-US" w:eastAsia="zh-CN"/>
        </w:rPr>
        <w:t>因此，</w:t>
      </w:r>
      <w:r>
        <w:rPr>
          <w:rFonts w:hint="default" w:ascii="Times New Roman" w:hAnsi="Times New Roman" w:cs="Times New Roman"/>
          <w:sz w:val="24"/>
          <w:szCs w:val="24"/>
          <w:lang w:val="en-US" w:eastAsia="zh-CN"/>
        </w:rPr>
        <w:t>将CO</w:t>
      </w:r>
      <w:r>
        <w:rPr>
          <w:rFonts w:hint="default" w:ascii="Times New Roman" w:hAnsi="Times New Roman" w:cs="Times New Roman"/>
          <w:sz w:val="24"/>
          <w:szCs w:val="24"/>
          <w:vertAlign w:val="subscript"/>
          <w:lang w:val="en-US" w:eastAsia="zh-CN"/>
        </w:rPr>
        <w:t>2</w:t>
      </w:r>
      <w:r>
        <w:rPr>
          <w:rFonts w:hint="default" w:ascii="Times New Roman" w:hAnsi="Times New Roman" w:cs="Times New Roman"/>
          <w:sz w:val="24"/>
          <w:szCs w:val="24"/>
          <w:lang w:val="en-US" w:eastAsia="zh-CN"/>
        </w:rPr>
        <w:t>注入气藏不仅可以</w:t>
      </w:r>
      <w:r>
        <w:rPr>
          <w:rFonts w:hint="eastAsia" w:ascii="Times New Roman" w:hAnsi="Times New Roman" w:cs="Times New Roman"/>
          <w:sz w:val="24"/>
          <w:szCs w:val="24"/>
          <w:lang w:val="en-US" w:eastAsia="zh-CN"/>
        </w:rPr>
        <w:t>提高</w:t>
      </w:r>
      <w:r>
        <w:rPr>
          <w:rFonts w:hint="default" w:ascii="Times New Roman" w:hAnsi="Times New Roman" w:cs="Times New Roman"/>
          <w:sz w:val="24"/>
          <w:szCs w:val="24"/>
          <w:lang w:val="en-US" w:eastAsia="zh-CN"/>
        </w:rPr>
        <w:t>气藏产量，也</w:t>
      </w:r>
      <w:r>
        <w:rPr>
          <w:rFonts w:hint="eastAsia" w:ascii="Times New Roman" w:hAnsi="Times New Roman" w:cs="Times New Roman"/>
          <w:sz w:val="24"/>
          <w:szCs w:val="24"/>
          <w:lang w:val="en-US" w:eastAsia="zh-CN"/>
        </w:rPr>
        <w:t>能</w:t>
      </w:r>
      <w:r>
        <w:rPr>
          <w:rFonts w:hint="default" w:ascii="Times New Roman" w:hAnsi="Times New Roman" w:cs="Times New Roman"/>
          <w:sz w:val="24"/>
          <w:szCs w:val="24"/>
          <w:lang w:val="en-US" w:eastAsia="zh-CN"/>
        </w:rPr>
        <w:t>在地下封存CO</w:t>
      </w:r>
      <w:r>
        <w:rPr>
          <w:rFonts w:hint="default" w:ascii="Times New Roman" w:hAnsi="Times New Roman" w:cs="Times New Roman"/>
          <w:sz w:val="24"/>
          <w:szCs w:val="24"/>
          <w:vertAlign w:val="subscript"/>
          <w:lang w:val="en-US" w:eastAsia="zh-CN"/>
        </w:rPr>
        <w:t>2</w:t>
      </w:r>
      <w:r>
        <w:rPr>
          <w:rFonts w:hint="default" w:ascii="Times New Roman" w:hAnsi="Times New Roman" w:cs="Times New Roman"/>
          <w:sz w:val="24"/>
          <w:szCs w:val="24"/>
          <w:lang w:val="en-US" w:eastAsia="zh-CN"/>
        </w:rPr>
        <w:t>这种温室气体</w:t>
      </w:r>
      <w:r>
        <w:rPr>
          <w:rFonts w:hint="eastAsia" w:ascii="Times New Roman" w:hAnsi="Times New Roman" w:cs="Times New Roman"/>
          <w:sz w:val="24"/>
          <w:szCs w:val="24"/>
          <w:lang w:val="en-US" w:eastAsia="zh-CN"/>
        </w:rPr>
        <w:t>，是一种经济的采气方式</w:t>
      </w:r>
      <w:r>
        <w:rPr>
          <w:rFonts w:hint="default" w:ascii="Times New Roman" w:hAnsi="Times New Roman" w:cs="Times New Roman"/>
          <w:sz w:val="24"/>
          <w:szCs w:val="24"/>
          <w:lang w:val="en-US" w:eastAsia="zh-CN"/>
        </w:rPr>
        <w:t>。</w:t>
      </w:r>
    </w:p>
    <w:p>
      <w:pPr>
        <w:spacing w:line="440" w:lineRule="exact"/>
        <w:ind w:firstLine="480"/>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目前，随着国内相关研究正在深入，也根据常规油藏驱替装置陆续开发出了一些气藏驱气实验装置，然而，实验过程中气体多次升压、降压并且伴随着温度变化导致气体计量存在误差，同时，由于岩心的致密结构和实验中岩心尺寸限制，整个过程中驱替的气体流量又极小，所以微小的误差也极易导致实验结果严重失真，此外，装置运行不稳定，比如，部分装置的采用平流泵作为液压驱动气体的动力源，然而由于平流泵的流量小液体在泵体内反复承压、发热严重，泵故障率高，因此，需要完善提供一种测试准确、运行稳定的气藏驱气实验装置。</w:t>
      </w:r>
    </w:p>
    <w:p>
      <w:pPr>
        <w:spacing w:line="440" w:lineRule="exact"/>
        <w:ind w:firstLine="0" w:firstLineChars="0"/>
        <w:rPr>
          <w:rFonts w:hint="eastAsia" w:ascii="宋体" w:hAnsi="宋体" w:eastAsia="宋体" w:cs="宋体"/>
          <w:b/>
          <w:sz w:val="24"/>
          <w:szCs w:val="24"/>
        </w:rPr>
      </w:pPr>
      <w:r>
        <w:rPr>
          <w:rFonts w:hint="eastAsia" w:ascii="宋体" w:hAnsi="宋体" w:eastAsia="宋体" w:cs="宋体"/>
          <w:b/>
          <w:sz w:val="24"/>
          <w:szCs w:val="24"/>
          <w:lang w:eastAsia="zh-CN"/>
        </w:rPr>
        <w:t>实用新型</w:t>
      </w:r>
      <w:r>
        <w:rPr>
          <w:rFonts w:hint="eastAsia" w:ascii="宋体" w:hAnsi="宋体" w:eastAsia="宋体" w:cs="宋体"/>
          <w:b/>
          <w:sz w:val="24"/>
          <w:szCs w:val="24"/>
        </w:rPr>
        <w:t>内容</w:t>
      </w:r>
    </w:p>
    <w:p>
      <w:pPr>
        <w:spacing w:line="440" w:lineRule="exact"/>
        <w:ind w:firstLine="480"/>
        <w:rPr>
          <w:rFonts w:hint="eastAsia" w:ascii="宋体" w:hAnsi="宋体" w:eastAsia="宋体" w:cs="宋体"/>
          <w:sz w:val="24"/>
          <w:szCs w:val="24"/>
        </w:rPr>
      </w:pPr>
      <w:r>
        <w:rPr>
          <w:rFonts w:hint="eastAsia" w:ascii="宋体" w:hAnsi="宋体" w:eastAsia="宋体" w:cs="宋体"/>
          <w:sz w:val="24"/>
          <w:szCs w:val="24"/>
        </w:rPr>
        <w:t>为了解决上述技术问题，本</w:t>
      </w:r>
      <w:r>
        <w:rPr>
          <w:rFonts w:hint="eastAsia" w:ascii="宋体" w:hAnsi="宋体" w:eastAsia="宋体" w:cs="宋体"/>
          <w:sz w:val="24"/>
          <w:szCs w:val="24"/>
          <w:lang w:eastAsia="zh-CN"/>
        </w:rPr>
        <w:t>实用新型</w:t>
      </w:r>
      <w:r>
        <w:rPr>
          <w:rFonts w:hint="eastAsia" w:ascii="宋体" w:hAnsi="宋体" w:eastAsia="宋体" w:cs="宋体"/>
          <w:sz w:val="24"/>
          <w:szCs w:val="24"/>
        </w:rPr>
        <w:t>提供了</w:t>
      </w:r>
      <w:r>
        <w:rPr>
          <w:rFonts w:hint="eastAsia" w:ascii="宋体" w:hAnsi="宋体" w:eastAsia="宋体" w:cs="宋体"/>
          <w:sz w:val="24"/>
          <w:szCs w:val="24"/>
          <w:lang w:eastAsia="zh-CN"/>
        </w:rPr>
        <w:t>一种</w:t>
      </w:r>
      <w:r>
        <w:rPr>
          <w:rFonts w:hint="eastAsia" w:ascii="宋体" w:hAnsi="宋体" w:eastAsia="宋体" w:cs="宋体"/>
          <w:sz w:val="24"/>
          <w:szCs w:val="24"/>
          <w:lang w:val="en-US" w:eastAsia="zh-CN"/>
        </w:rPr>
        <w:t>气藏驱气实验装置</w:t>
      </w:r>
      <w:r>
        <w:rPr>
          <w:rFonts w:hint="eastAsia" w:ascii="Times New Roman" w:hAnsi="Times New Roman" w:cs="Times New Roman"/>
          <w:sz w:val="24"/>
          <w:szCs w:val="24"/>
          <w:lang w:val="en-US" w:eastAsia="zh-CN"/>
        </w:rPr>
        <w:t>，本装置测试精度高、运行稳定</w:t>
      </w:r>
      <w:r>
        <w:rPr>
          <w:rFonts w:hint="eastAsia" w:ascii="宋体" w:hAnsi="宋体" w:eastAsia="宋体" w:cs="宋体"/>
          <w:sz w:val="24"/>
          <w:szCs w:val="24"/>
        </w:rPr>
        <w:t>。</w:t>
      </w:r>
    </w:p>
    <w:p>
      <w:pPr>
        <w:spacing w:line="440" w:lineRule="exact"/>
        <w:ind w:firstLine="480"/>
        <w:rPr>
          <w:rFonts w:hint="eastAsia" w:ascii="宋体" w:hAnsi="宋体" w:eastAsia="宋体" w:cs="宋体"/>
          <w:sz w:val="24"/>
          <w:szCs w:val="24"/>
        </w:rPr>
      </w:pPr>
      <w:r>
        <w:rPr>
          <w:rFonts w:hint="eastAsia" w:ascii="宋体" w:hAnsi="宋体" w:eastAsia="宋体" w:cs="宋体"/>
          <w:sz w:val="24"/>
          <w:szCs w:val="24"/>
        </w:rPr>
        <w:t>本</w:t>
      </w:r>
      <w:r>
        <w:rPr>
          <w:rFonts w:hint="eastAsia" w:ascii="宋体" w:hAnsi="宋体" w:eastAsia="宋体" w:cs="宋体"/>
          <w:sz w:val="24"/>
          <w:szCs w:val="24"/>
          <w:lang w:eastAsia="zh-CN"/>
        </w:rPr>
        <w:t>实用新型</w:t>
      </w:r>
      <w:r>
        <w:rPr>
          <w:rFonts w:hint="eastAsia" w:ascii="宋体" w:hAnsi="宋体" w:eastAsia="宋体" w:cs="宋体"/>
          <w:sz w:val="24"/>
          <w:szCs w:val="24"/>
        </w:rPr>
        <w:t>所采用的技术方案是：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eastAsia="zh-CN"/>
        </w:rPr>
        <w:t>一种</w:t>
      </w:r>
      <w:r>
        <w:rPr>
          <w:rFonts w:hint="eastAsia" w:ascii="宋体" w:hAnsi="宋体" w:eastAsia="宋体" w:cs="宋体"/>
          <w:sz w:val="24"/>
          <w:szCs w:val="24"/>
          <w:lang w:val="en-US" w:eastAsia="zh-CN"/>
        </w:rPr>
        <w:t>气藏驱气实验装置，包括依次连接的原料气瓶、活塞容器和岩心夹持器，所述岩心夹持器位于恒温水浴箱中，所述活塞容器的驱动端与平流泵出口连通，所述平流泵入口与储液槽连通，所述活塞容器上设置有刻度，用于计算体积，所述活塞容器非驱动端还设置有压力传感器和温度传感器；所述原料气瓶并联设置有多个且均与活塞容器非驱动端连通，每个气瓶装入不同气体，可以根据需要调整活塞容器非驱动端内的气体组成实现不同气体的气藏驱气实验；所述平流泵出口连接有回流管线，所述回流管线上设置有液压压力控制装置，整个实验过程中驱替气体的流速慢，液体流量小，平流泵的流量很小很难调整从而导致泵出口压力波动，此外小流量下平流泵还存在故障率高的问题，通过设置回流管线让部分液体返回第一储液罐可以增大平流泵的实际流量，利于平流泵的长期稳定运行和泵出口压力调节；所述岩心夹持器上还连接有围压泵，用于对岩心夹持器中的岩心施加围压，恒温水浴箱用于对岩心夹持器中的岩心加热以便模拟真实气藏的温度；所述恒温水浴箱还连接有热水循环系统，所述热水循环系统由出、入口均与恒温水浴箱连通的循环水泵和管线组成，由于恒温水浴箱要容纳岩心夹持器所以其体积较大，而恒温水浴箱中加热装置集中在底部且其中热水流动性差，导致整个水浴中温度不均衡，设置热水循环系统有利于水浴箱中热水流动循环、交换热量维持整个水浴箱中水温均衡；所述岩心夹持器出口与储气室连通且连通管线上设置有回压控制装置，回压控制装置可以调整实验过程中的驱替压力，所述岩心夹持器出口与回压控制装置之间连接有压力传感器和抽真空装置；所述储气室底部连接有橡胶管，所述橡胶管另一端位于量筒入口，气体进入储气室后将储气室内液体压入量筒内，计量量筒内水的体积便可获知储气室中增加的气体体积；所述储气室位于温度控制装置内，实验过程中高压气体经回压控制装置节流降压变为低压气体，其温度降低，设置温度控制装置对储气室进行温度控制，有利于维持储气室中气体温度稳定、测量其真实体积；所述储气室顶部还设置有气体组分分析装置，所述气体组分装置由依次连接的引风机和红外气体组分分析仪组成，所述引风机入口与储气室顶部连通且所述连通管上设置有温度传感器，所述红外气体组分分析仪出口与储气室连通且，红外气体组分分析仪在分析气体组分过程中并不消耗气体，因此不会影响气体体积，通过引风机实现了储气室内气体的循环、混合，使红外气体组分分析仪测定的数据更准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eastAsia" w:ascii="宋体" w:hAnsi="宋体" w:eastAsia="宋体" w:cs="宋体"/>
          <w:sz w:val="24"/>
          <w:szCs w:val="24"/>
          <w:lang w:val="en-US" w:eastAsia="zh-CN"/>
        </w:rPr>
        <w:t>优选的，所述红外气体组分分析仪出口与储气室顶部连通且连接管线伸入储气室下部，便于气体与储气室中的液体混合、换热。</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优选的，所述液压压力控制装置为自力式压力调节阀、电动压力调节阀、气动压力调节阀中的一种。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优选的，所述活塞容器非驱动端与岩心夹持器入口之间设置有单向阀和手阀。</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以CO2驱替为例对本实用新型的使用步骤进行介绍：</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装置气密测试：气密主要针对高压部位，将岩心放入岩心夹持器内并用</w:t>
      </w:r>
      <w:r>
        <w:rPr>
          <w:rFonts w:hint="eastAsia" w:ascii="Times New Roman" w:hAnsi="Times New Roman" w:cs="Times New Roman"/>
          <w:b w:val="0"/>
          <w:bCs w:val="0"/>
          <w:sz w:val="24"/>
          <w:szCs w:val="24"/>
          <w:lang w:val="en-US" w:eastAsia="zh-CN"/>
        </w:rPr>
        <w:t>围压泵对岩心施加围压，打开</w:t>
      </w:r>
      <w:r>
        <w:rPr>
          <w:rFonts w:hint="eastAsia" w:ascii="Times New Roman" w:hAnsi="Times New Roman" w:cs="Times New Roman"/>
          <w:sz w:val="24"/>
          <w:szCs w:val="24"/>
          <w:lang w:val="en-US" w:eastAsia="zh-CN"/>
        </w:rPr>
        <w:t>活塞容器非驱动端与岩心夹持器入口之间的手阀，关闭回压控装置，用原料气向活塞容器和岩心夹持器充气，充压至岩心夹持器出、入口压力均达5MPa后停止原料气充压，一段时间后观察系统压力，若压力稳定则气密测试合格，否则查出泄漏点处理后继续进行气密测试直至合格。</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氮气置换：打开回压控制装置对岩心夹持器系统泄压，通过装有氮气的原料气瓶向活塞容器中充入氮气对系统进行氮气置换。</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甲烷气体置换：</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停止装有氮气的原料气瓶对活塞容器充压，关闭回压控制装置，启动抽真空泵对系统抽真空然后关闭抽真空泵。</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关闭活塞容器非驱动端与岩心夹持器入口之间的手阀，用含有甲烷气体的原料气瓶对活塞容器充压，当活塞容器中压力达到一定值后停止甲烷原料气充压，此时活塞容器非驱动端体积、温度、压力均可获得，即可获得本次使用甲烷气体的标准体积V1。</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启动平流泵，调整液压压力控制装置，使活塞容器非驱动端压力为本次实验目标压力，然后打开活塞容器非驱动端与岩心夹持器入口之间的手阀，气体进入岩心夹持器中并最终进入岩心。</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气体驱替：</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当岩心夹持器出、入口压力传感器压力相同时，视为甲烷置换完毕，岩心中已经饱和吸附有甲烷，计算此时活塞容器中的甲烷标准体积V2，V1-V2便此次向岩心夹持器中注入的甲烷气体标准体积V3；关闭活塞容器非驱动端与岩心夹持器入口之间的手阀，排尽活塞容器非驱动端的甲烷气体，停止平流泵，然后用含有CO</w:t>
      </w:r>
      <w:r>
        <w:rPr>
          <w:rFonts w:hint="eastAsia" w:ascii="Times New Roman" w:hAnsi="Times New Roman" w:cs="Times New Roman"/>
          <w:sz w:val="24"/>
          <w:szCs w:val="24"/>
          <w:vertAlign w:val="subscript"/>
          <w:lang w:val="en-US" w:eastAsia="zh-CN"/>
        </w:rPr>
        <w:t>2</w:t>
      </w:r>
      <w:r>
        <w:rPr>
          <w:rFonts w:hint="eastAsia" w:ascii="Times New Roman" w:hAnsi="Times New Roman" w:cs="Times New Roman"/>
          <w:sz w:val="24"/>
          <w:szCs w:val="24"/>
          <w:lang w:val="en-US" w:eastAsia="zh-CN"/>
        </w:rPr>
        <w:t>的原料气瓶对活塞容器充压，当活塞容器中压力达到一定值后停止充压，此时活塞容器非驱动端体积、温度、压力均可获得，即可获得本次使用CO2气体的标准体积V4。</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启动平流泵，调整液压压力控制装置，使活塞容器非驱动端压力为本次实验目标压力，通过回压控制装置调节好回压，然后打开活塞容器非驱动端与岩心夹持器入口之间的手阀，气体进入岩心夹持器中驱替试验开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此外，前期在储气室内注入水和一定量甲烷标准体积V5，这主要是为了让红外气体组分分析仪能够正常运转，实验过程中气体进入储气室后将储气室中的水排液量筒中，通过量筒中的水量可以计算储气室新增加气体的标准体积V6，同时通过红外气体组分分析仪可以获知整个过程中的气体组分，从而获得驱替过程中的气体组分、流量等关键参数，完成驱替实验。</w:t>
      </w:r>
    </w:p>
    <w:p>
      <w:pPr>
        <w:spacing w:line="440" w:lineRule="exact"/>
        <w:ind w:firstLine="480"/>
        <w:rPr>
          <w:rFonts w:hint="eastAsia" w:ascii="宋体" w:hAnsi="宋体" w:eastAsia="宋体" w:cs="宋体"/>
          <w:sz w:val="24"/>
          <w:szCs w:val="24"/>
        </w:rPr>
      </w:pPr>
      <w:r>
        <w:rPr>
          <w:rFonts w:hint="eastAsia" w:ascii="宋体" w:hAnsi="宋体" w:eastAsia="宋体" w:cs="宋体"/>
          <w:sz w:val="24"/>
          <w:szCs w:val="24"/>
        </w:rPr>
        <w:t>本</w:t>
      </w:r>
      <w:r>
        <w:rPr>
          <w:rFonts w:hint="eastAsia" w:ascii="宋体" w:hAnsi="宋体" w:eastAsia="宋体" w:cs="宋体"/>
          <w:sz w:val="24"/>
          <w:szCs w:val="24"/>
          <w:lang w:eastAsia="zh-CN"/>
        </w:rPr>
        <w:t>实用新型</w:t>
      </w:r>
      <w:r>
        <w:rPr>
          <w:rFonts w:hint="eastAsia" w:ascii="宋体" w:hAnsi="宋体" w:eastAsia="宋体" w:cs="宋体"/>
          <w:sz w:val="24"/>
          <w:szCs w:val="24"/>
        </w:rPr>
        <w:t>的有益效果是：</w:t>
      </w:r>
    </w:p>
    <w:p>
      <w:pPr>
        <w:numPr>
          <w:ilvl w:val="0"/>
          <w:numId w:val="4"/>
        </w:numPr>
        <w:spacing w:line="440" w:lineRule="exact"/>
        <w:ind w:firstLine="480"/>
        <w:rPr>
          <w:rFonts w:hint="eastAsia" w:ascii="宋体" w:hAnsi="宋体" w:eastAsia="宋体" w:cs="宋体"/>
          <w:sz w:val="24"/>
          <w:szCs w:val="24"/>
          <w:lang w:eastAsia="zh-CN"/>
        </w:rPr>
      </w:pPr>
      <w:r>
        <w:rPr>
          <w:rFonts w:hint="eastAsia" w:ascii="宋体" w:hAnsi="宋体" w:eastAsia="宋体" w:cs="宋体"/>
          <w:sz w:val="24"/>
          <w:szCs w:val="24"/>
          <w:lang w:val="en-US" w:eastAsia="zh-CN"/>
        </w:rPr>
        <w:t>本装置通过排水法计量气体体积，增设温度控制装置稳定储气室中气体温度，消除了温度对气体体积测量的影响，同时，采用的红外气体组分分析仪在实验过程中并不消耗气体，所以气体体积测量误差小。</w:t>
      </w:r>
    </w:p>
    <w:p>
      <w:pPr>
        <w:numPr>
          <w:ilvl w:val="0"/>
          <w:numId w:val="4"/>
        </w:numPr>
        <w:spacing w:line="440" w:lineRule="exact"/>
        <w:ind w:firstLine="480"/>
        <w:rPr>
          <w:rFonts w:hint="eastAsia" w:ascii="宋体" w:hAnsi="宋体" w:eastAsia="宋体" w:cs="宋体"/>
          <w:sz w:val="24"/>
          <w:szCs w:val="24"/>
          <w:lang w:eastAsia="zh-CN"/>
        </w:rPr>
      </w:pPr>
      <w:r>
        <w:rPr>
          <w:rFonts w:hint="eastAsia" w:ascii="宋体" w:hAnsi="宋体" w:eastAsia="宋体" w:cs="宋体"/>
          <w:sz w:val="24"/>
          <w:szCs w:val="24"/>
          <w:lang w:val="en-US" w:eastAsia="zh-CN"/>
        </w:rPr>
        <w:t>红外气体组分分析仪采集的是经引风机不断循环、充分混合的气体，测得的气体组分准确度高。</w:t>
      </w:r>
    </w:p>
    <w:p>
      <w:pPr>
        <w:numPr>
          <w:ilvl w:val="0"/>
          <w:numId w:val="4"/>
        </w:numPr>
        <w:spacing w:line="440" w:lineRule="exact"/>
        <w:ind w:firstLine="480"/>
        <w:rPr>
          <w:rFonts w:hint="eastAsia" w:ascii="宋体" w:hAnsi="宋体" w:eastAsia="宋体" w:cs="宋体"/>
          <w:sz w:val="24"/>
          <w:szCs w:val="24"/>
          <w:lang w:eastAsia="zh-CN"/>
        </w:rPr>
      </w:pPr>
      <w:r>
        <w:rPr>
          <w:rFonts w:hint="eastAsia" w:ascii="宋体" w:hAnsi="宋体" w:eastAsia="宋体" w:cs="宋体"/>
          <w:sz w:val="24"/>
          <w:szCs w:val="24"/>
          <w:lang w:val="en-US" w:eastAsia="zh-CN"/>
        </w:rPr>
        <w:t>对岩心夹持器所在的恒温水浴箱增设了热水循环系统，使恒温水浴箱中温度更加均衡，这有利于岩心温度的均衡。</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480" w:firstLineChars="0"/>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平流泵出口设置有回流管线且管线上设置有液压压力控制装置，可以增大平流泵的实际流量，利于平流泵的长期稳定运行和泵出口压力调节。</w:t>
      </w:r>
    </w:p>
    <w:p>
      <w:pPr>
        <w:spacing w:line="440" w:lineRule="exact"/>
        <w:ind w:firstLine="0" w:firstLineChars="0"/>
        <w:rPr>
          <w:rFonts w:hint="eastAsia" w:ascii="宋体" w:hAnsi="宋体" w:eastAsia="宋体" w:cs="宋体"/>
          <w:b/>
          <w:sz w:val="24"/>
          <w:szCs w:val="24"/>
        </w:rPr>
      </w:pPr>
      <w:r>
        <w:rPr>
          <w:rFonts w:hint="eastAsia" w:ascii="宋体" w:hAnsi="宋体" w:eastAsia="宋体" w:cs="宋体"/>
          <w:b/>
          <w:sz w:val="24"/>
          <w:szCs w:val="24"/>
        </w:rPr>
        <w:t>附图说明</w:t>
      </w:r>
    </w:p>
    <w:p>
      <w:pPr>
        <w:spacing w:line="440" w:lineRule="exact"/>
        <w:ind w:firstLine="480"/>
        <w:rPr>
          <w:rFonts w:hint="eastAsia" w:ascii="宋体" w:hAnsi="宋体" w:eastAsia="宋体" w:cs="宋体"/>
          <w:sz w:val="24"/>
          <w:szCs w:val="24"/>
          <w:lang w:eastAsia="zh-CN"/>
        </w:rPr>
      </w:pPr>
      <w:r>
        <w:rPr>
          <w:rFonts w:hint="eastAsia" w:ascii="宋体" w:hAnsi="宋体" w:eastAsia="宋体" w:cs="宋体"/>
          <w:sz w:val="24"/>
          <w:szCs w:val="24"/>
        </w:rPr>
        <w:t>图1：本</w:t>
      </w:r>
      <w:r>
        <w:rPr>
          <w:rFonts w:hint="eastAsia" w:ascii="宋体" w:hAnsi="宋体" w:eastAsia="宋体" w:cs="宋体"/>
          <w:sz w:val="24"/>
          <w:szCs w:val="24"/>
          <w:lang w:eastAsia="zh-CN"/>
        </w:rPr>
        <w:t>实用新型主体</w:t>
      </w:r>
      <w:r>
        <w:rPr>
          <w:rFonts w:hint="eastAsia" w:ascii="宋体" w:hAnsi="宋体" w:eastAsia="宋体" w:cs="宋体"/>
          <w:sz w:val="24"/>
          <w:szCs w:val="24"/>
        </w:rPr>
        <w:t>示意图</w:t>
      </w:r>
      <w:r>
        <w:rPr>
          <w:rFonts w:hint="eastAsia" w:ascii="宋体" w:hAnsi="宋体" w:eastAsia="宋体" w:cs="宋体"/>
          <w:sz w:val="24"/>
          <w:szCs w:val="24"/>
          <w:lang w:eastAsia="zh-CN"/>
        </w:rPr>
        <w:t>；</w:t>
      </w:r>
    </w:p>
    <w:p>
      <w:pPr>
        <w:spacing w:line="440" w:lineRule="exact"/>
        <w:ind w:firstLine="480"/>
        <w:rPr>
          <w:rFonts w:hint="default" w:ascii="宋体" w:hAnsi="宋体" w:eastAsia="宋体" w:cs="宋体"/>
          <w:sz w:val="24"/>
          <w:szCs w:val="24"/>
          <w:lang w:val="en-US" w:eastAsia="zh-CN"/>
        </w:rPr>
      </w:pPr>
      <w:r>
        <w:rPr>
          <w:rFonts w:hint="eastAsia" w:ascii="宋体" w:hAnsi="宋体" w:eastAsia="宋体" w:cs="宋体"/>
          <w:sz w:val="24"/>
          <w:szCs w:val="24"/>
          <w:lang w:eastAsia="zh-CN"/>
        </w:rPr>
        <w:t>图中，</w:t>
      </w:r>
      <w:r>
        <w:rPr>
          <w:rFonts w:hint="eastAsia" w:ascii="宋体" w:hAnsi="宋体" w:eastAsia="宋体" w:cs="宋体"/>
          <w:sz w:val="24"/>
          <w:szCs w:val="24"/>
          <w:lang w:val="en-US" w:eastAsia="zh-CN"/>
        </w:rPr>
        <w:t>1、原料气瓶；2、活塞容器；3、岩心夹持器；4、回压控制装置；5、储气室；6、平流泵；7、回流管线；8、液压压力控制装置；9、储液槽；10、压力传感器；11、温度传感器；12、围压泵；13、恒温水浴箱；14、循环水泵；15、抽真空装置；16、量筒；17、温度控制装置；18、引风机；19、红外气体组分分析仪；20、单向阀；21</w:t>
      </w:r>
      <w:bookmarkStart w:id="0" w:name="_GoBack"/>
      <w:bookmarkEnd w:id="0"/>
      <w:r>
        <w:rPr>
          <w:rFonts w:hint="eastAsia" w:ascii="宋体" w:hAnsi="宋体" w:eastAsia="宋体" w:cs="宋体"/>
          <w:sz w:val="24"/>
          <w:szCs w:val="24"/>
          <w:lang w:val="en-US" w:eastAsia="zh-CN"/>
        </w:rPr>
        <w:t>、手阀。</w:t>
      </w:r>
    </w:p>
    <w:p>
      <w:pPr>
        <w:spacing w:line="440" w:lineRule="exact"/>
        <w:ind w:firstLine="0" w:firstLineChars="0"/>
        <w:rPr>
          <w:rFonts w:hint="eastAsia" w:ascii="宋体" w:hAnsi="宋体" w:eastAsia="宋体" w:cs="宋体"/>
          <w:b/>
          <w:sz w:val="24"/>
          <w:szCs w:val="24"/>
        </w:rPr>
      </w:pPr>
      <w:r>
        <w:rPr>
          <w:rFonts w:hint="eastAsia" w:ascii="宋体" w:hAnsi="宋体" w:eastAsia="宋体" w:cs="宋体"/>
          <w:b/>
          <w:sz w:val="24"/>
          <w:szCs w:val="24"/>
        </w:rPr>
        <w:t>具体实施方式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为了方便本领域普通技术人员理解和实施本</w:t>
      </w:r>
      <w:r>
        <w:rPr>
          <w:rFonts w:hint="eastAsia" w:ascii="宋体" w:hAnsi="宋体" w:eastAsia="宋体" w:cs="宋体"/>
          <w:sz w:val="24"/>
          <w:szCs w:val="24"/>
          <w:lang w:eastAsia="zh-CN"/>
        </w:rPr>
        <w:t>实用新型</w:t>
      </w:r>
      <w:r>
        <w:rPr>
          <w:rFonts w:hint="eastAsia" w:ascii="宋体" w:hAnsi="宋体" w:eastAsia="宋体" w:cs="宋体"/>
          <w:sz w:val="24"/>
          <w:szCs w:val="24"/>
        </w:rPr>
        <w:t>，下面结合图及实施例对本</w:t>
      </w:r>
      <w:r>
        <w:rPr>
          <w:rFonts w:hint="eastAsia" w:ascii="宋体" w:hAnsi="宋体" w:eastAsia="宋体" w:cs="宋体"/>
          <w:sz w:val="24"/>
          <w:szCs w:val="24"/>
          <w:lang w:eastAsia="zh-CN"/>
        </w:rPr>
        <w:t>实用新型</w:t>
      </w:r>
      <w:r>
        <w:rPr>
          <w:rFonts w:hint="eastAsia" w:ascii="宋体" w:hAnsi="宋体" w:eastAsia="宋体" w:cs="宋体"/>
          <w:sz w:val="24"/>
          <w:szCs w:val="24"/>
        </w:rPr>
        <w:t>作进一步的详细描述，应当理解，此处所述的实施示例仅用于说明和解释本</w:t>
      </w:r>
      <w:r>
        <w:rPr>
          <w:rFonts w:hint="eastAsia" w:ascii="宋体" w:hAnsi="宋体" w:eastAsia="宋体" w:cs="宋体"/>
          <w:sz w:val="24"/>
          <w:szCs w:val="24"/>
          <w:lang w:eastAsia="zh-CN"/>
        </w:rPr>
        <w:t>实用新型</w:t>
      </w:r>
      <w:r>
        <w:rPr>
          <w:rFonts w:hint="eastAsia" w:ascii="宋体" w:hAnsi="宋体" w:eastAsia="宋体" w:cs="宋体"/>
          <w:sz w:val="24"/>
          <w:szCs w:val="24"/>
        </w:rPr>
        <w:t>，并不用于限定本</w:t>
      </w:r>
      <w:r>
        <w:rPr>
          <w:rFonts w:hint="eastAsia" w:ascii="宋体" w:hAnsi="宋体" w:eastAsia="宋体" w:cs="宋体"/>
          <w:sz w:val="24"/>
          <w:szCs w:val="24"/>
          <w:lang w:eastAsia="zh-CN"/>
        </w:rPr>
        <w:t>实用新型</w:t>
      </w:r>
      <w:r>
        <w:rPr>
          <w:rFonts w:hint="eastAsia" w:ascii="宋体" w:hAnsi="宋体" w:eastAsia="宋体" w:cs="宋体"/>
          <w:sz w:val="24"/>
          <w:szCs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一种气藏驱气实验装置，包括依次连接的原料气瓶1、活塞容器2、岩心夹持器3，回压控制装置4和储气室5，活塞容器2的驱动端与平流泵6出口连通，平流泵6出口还连接有回流管线7，回流管线7上设置有液压压力控制装置8，平流泵5入口与储液槽9连通；活塞容器2上设置有刻度，活塞容器2非驱动端设置有压力传感器10和温度传感器11，3个原料气瓶1并联设置且均与活塞容器2非驱动端连通；岩心夹持器3上连接有围压泵12，岩心夹持器3位于恒温水浴箱13中，恒温水浴箱13底部与循环水泵14连通，循环水泵14的出口位于恒温水浴箱上部；岩心夹持器3出口与回压控制装置4之间连接有压力传感器10和抽真空装置15；储气室5位于温度控制装置17内，储气室5底部连接有橡胶管，橡胶管另一端位于量筒16入口；储气室5顶部与引风机18入口连通，引风机18入口还设置有温度传感器11，引风机18出口与红外气体组分分析仪19的进样口连通，红外气体组分分析仪19的出样口与储气室5顶部连通且连接管伸入储气室5下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液压压力控制装置8为自力式压力调节阀；活塞容器2非驱动端与岩心夹持器3入口之间设置有单向阀20和手阀21；所述温度控制装置17为恒温水浴槽。</w:t>
      </w:r>
    </w:p>
    <w:p>
      <w:pPr>
        <w:spacing w:line="440" w:lineRule="exact"/>
        <w:ind w:firstLine="48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在本实用新型的描述中，需要说明的是，术语“上”、“下”、“一端”、“另一端”、“高”、“低”等指示的方位或位置关系为基于附图所示的方位或位置关系，仅是为了便于描述本实用新型和简化描述，而不是指示或暗示所指的装置或元件必须具有特定的方位、以特定的方位构造和操作，因此不能理解为对本实用新型的限制。</w:t>
      </w:r>
    </w:p>
    <w:p>
      <w:pPr>
        <w:pStyle w:val="9"/>
        <w:overflowPunct/>
        <w:autoSpaceDE/>
        <w:autoSpaceDN/>
        <w:adjustRightInd/>
        <w:spacing w:line="360" w:lineRule="auto"/>
        <w:ind w:firstLine="480" w:firstLineChars="200"/>
        <w:jc w:val="both"/>
        <w:textAlignment w:val="auto"/>
        <w:rPr>
          <w:rFonts w:hint="eastAsia" w:ascii="宋体" w:hAnsi="宋体" w:eastAsia="宋体" w:cs="宋体"/>
          <w:sz w:val="24"/>
          <w:szCs w:val="24"/>
          <w:lang w:eastAsia="zh-CN"/>
        </w:rPr>
      </w:pPr>
      <w:r>
        <w:rPr>
          <w:rFonts w:hint="default" w:ascii="宋体" w:hAnsi="宋体" w:eastAsia="宋体" w:cs="宋体"/>
          <w:sz w:val="24"/>
          <w:szCs w:val="24"/>
        </w:rPr>
        <w:t>以上所述，并非对本</w:t>
      </w:r>
      <w:r>
        <w:rPr>
          <w:rFonts w:hint="eastAsia" w:ascii="宋体" w:hAnsi="宋体" w:cs="宋体"/>
          <w:sz w:val="24"/>
          <w:szCs w:val="24"/>
          <w:lang w:eastAsia="zh-CN"/>
        </w:rPr>
        <w:t>实用新型</w:t>
      </w:r>
      <w:r>
        <w:rPr>
          <w:rFonts w:hint="default" w:ascii="宋体" w:hAnsi="宋体" w:eastAsia="宋体" w:cs="宋体"/>
          <w:sz w:val="24"/>
          <w:szCs w:val="24"/>
        </w:rPr>
        <w:t>作任何形式上的限制，虽然本</w:t>
      </w:r>
      <w:r>
        <w:rPr>
          <w:rFonts w:hint="eastAsia" w:ascii="宋体" w:hAnsi="宋体" w:cs="宋体"/>
          <w:sz w:val="24"/>
          <w:szCs w:val="24"/>
          <w:lang w:eastAsia="zh-CN"/>
        </w:rPr>
        <w:t>实用新型</w:t>
      </w:r>
      <w:r>
        <w:rPr>
          <w:rFonts w:hint="default" w:ascii="宋体" w:hAnsi="宋体" w:eastAsia="宋体" w:cs="宋体"/>
          <w:sz w:val="24"/>
          <w:szCs w:val="24"/>
        </w:rPr>
        <w:t>已以较佳实施例揭露如上，然而并非用以限定本</w:t>
      </w:r>
      <w:r>
        <w:rPr>
          <w:rFonts w:hint="eastAsia" w:ascii="宋体" w:hAnsi="宋体" w:cs="宋体"/>
          <w:sz w:val="24"/>
          <w:szCs w:val="24"/>
          <w:lang w:eastAsia="zh-CN"/>
        </w:rPr>
        <w:t>实用新型</w:t>
      </w:r>
      <w:r>
        <w:rPr>
          <w:rFonts w:hint="default" w:ascii="宋体" w:hAnsi="宋体" w:eastAsia="宋体" w:cs="宋体"/>
          <w:sz w:val="24"/>
          <w:szCs w:val="24"/>
        </w:rPr>
        <w:t>，任何熟悉本专业的技术人员，在不脱离本</w:t>
      </w:r>
      <w:r>
        <w:rPr>
          <w:rFonts w:hint="eastAsia" w:ascii="宋体" w:hAnsi="宋体" w:cs="宋体"/>
          <w:sz w:val="24"/>
          <w:szCs w:val="24"/>
          <w:lang w:eastAsia="zh-CN"/>
        </w:rPr>
        <w:t>实用新型</w:t>
      </w:r>
      <w:r>
        <w:rPr>
          <w:rFonts w:hint="default" w:ascii="宋体" w:hAnsi="宋体" w:eastAsia="宋体" w:cs="宋体"/>
          <w:sz w:val="24"/>
          <w:szCs w:val="24"/>
        </w:rPr>
        <w:t>技术方案范围内，当可利用上述揭示的技术内容作出些许更动或修饰为等同变化的等效实施例，但凡是未脱离本</w:t>
      </w:r>
      <w:r>
        <w:rPr>
          <w:rFonts w:hint="eastAsia" w:ascii="宋体" w:hAnsi="宋体" w:cs="宋体"/>
          <w:sz w:val="24"/>
          <w:szCs w:val="24"/>
          <w:lang w:eastAsia="zh-CN"/>
        </w:rPr>
        <w:t>实用新型</w:t>
      </w:r>
      <w:r>
        <w:rPr>
          <w:rFonts w:hint="default" w:ascii="宋体" w:hAnsi="宋体" w:eastAsia="宋体" w:cs="宋体"/>
          <w:sz w:val="24"/>
          <w:szCs w:val="24"/>
        </w:rPr>
        <w:t>技术方案的内容，依据本</w:t>
      </w:r>
      <w:r>
        <w:rPr>
          <w:rFonts w:hint="eastAsia" w:ascii="宋体" w:hAnsi="宋体" w:cs="宋体"/>
          <w:sz w:val="24"/>
          <w:szCs w:val="24"/>
          <w:lang w:eastAsia="zh-CN"/>
        </w:rPr>
        <w:t>实用新型</w:t>
      </w:r>
      <w:r>
        <w:rPr>
          <w:rFonts w:hint="default" w:ascii="宋体" w:hAnsi="宋体" w:eastAsia="宋体" w:cs="宋体"/>
          <w:sz w:val="24"/>
          <w:szCs w:val="24"/>
        </w:rPr>
        <w:t>的技术实质对以上实施例所作的任何简单修改、等同变化与修饰，均仍属于本</w:t>
      </w:r>
      <w:r>
        <w:rPr>
          <w:rFonts w:hint="eastAsia" w:ascii="宋体" w:hAnsi="宋体" w:cs="宋体"/>
          <w:sz w:val="24"/>
          <w:szCs w:val="24"/>
          <w:lang w:eastAsia="zh-CN"/>
        </w:rPr>
        <w:t>实用新型</w:t>
      </w:r>
      <w:r>
        <w:rPr>
          <w:rFonts w:hint="default" w:ascii="宋体" w:hAnsi="宋体" w:eastAsia="宋体" w:cs="宋体"/>
          <w:sz w:val="24"/>
          <w:szCs w:val="24"/>
        </w:rPr>
        <w:t>技术方案的范围内</w:t>
      </w:r>
      <w:r>
        <w:rPr>
          <w:rFonts w:hint="eastAsia" w:ascii="宋体" w:hAnsi="宋体" w:eastAsia="宋体" w:cs="宋体"/>
          <w:sz w:val="24"/>
          <w:szCs w:val="24"/>
          <w:lang w:eastAsia="zh-CN"/>
        </w:rPr>
        <w:t>。</w:t>
      </w:r>
    </w:p>
    <w:p>
      <w:pPr>
        <w:pStyle w:val="9"/>
        <w:overflowPunct/>
        <w:autoSpaceDE/>
        <w:autoSpaceDN/>
        <w:adjustRightInd/>
        <w:spacing w:line="360" w:lineRule="auto"/>
        <w:ind w:firstLine="480" w:firstLineChars="200"/>
        <w:jc w:val="both"/>
        <w:textAlignment w:val="auto"/>
        <w:rPr>
          <w:rFonts w:hint="eastAsia" w:ascii="宋体" w:hAnsi="宋体" w:eastAsia="宋体" w:cs="宋体"/>
          <w:sz w:val="24"/>
          <w:szCs w:val="24"/>
          <w:lang w:eastAsia="zh-CN"/>
        </w:rPr>
        <w:sectPr>
          <w:headerReference r:id="rId10" w:type="default"/>
          <w:footerReference r:id="rId11"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pPr>
    </w:p>
    <w:p>
      <w:pPr>
        <w:pStyle w:val="9"/>
        <w:overflowPunct/>
        <w:autoSpaceDE/>
        <w:autoSpaceDN/>
        <w:adjustRightInd/>
        <w:spacing w:line="360" w:lineRule="auto"/>
        <w:jc w:val="left"/>
        <w:textAlignment w:val="auto"/>
        <w:rPr>
          <w:rFonts w:hint="eastAsia" w:ascii="Arial" w:hAnsi="Arial" w:eastAsia="宋体"/>
          <w:lang w:eastAsia="zh-CN"/>
        </w:rPr>
      </w:pPr>
      <w:r>
        <w:rPr>
          <w:rFonts w:hint="eastAsia" w:ascii="Arial" w:hAnsi="Arial" w:eastAsia="宋体"/>
          <w:lang w:eastAsia="zh-CN"/>
        </w:rPr>
        <w:drawing>
          <wp:inline distT="0" distB="0" distL="114300" distR="114300">
            <wp:extent cx="5105400" cy="5039995"/>
            <wp:effectExtent l="0" t="0" r="0" b="8255"/>
            <wp:docPr id="8" name="图片 8" descr="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123"/>
                    <pic:cNvPicPr>
                      <a:picLocks noChangeAspect="1"/>
                    </pic:cNvPicPr>
                  </pic:nvPicPr>
                  <pic:blipFill>
                    <a:blip r:embed="rId14"/>
                    <a:srcRect l="8671" r="10296"/>
                    <a:stretch>
                      <a:fillRect/>
                    </a:stretch>
                  </pic:blipFill>
                  <pic:spPr>
                    <a:xfrm>
                      <a:off x="0" y="0"/>
                      <a:ext cx="5105400" cy="5039995"/>
                    </a:xfrm>
                    <a:prstGeom prst="rect">
                      <a:avLst/>
                    </a:prstGeom>
                  </pic:spPr>
                </pic:pic>
              </a:graphicData>
            </a:graphic>
          </wp:inline>
        </w:drawing>
      </w:r>
    </w:p>
    <w:p>
      <w:pPr>
        <w:pStyle w:val="9"/>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Arial" w:hAnsi="Arial" w:eastAsia="宋体"/>
          <w:b w:val="0"/>
          <w:bCs w:val="0"/>
          <w:sz w:val="24"/>
          <w:szCs w:val="24"/>
        </w:rPr>
      </w:pPr>
      <w:r>
        <w:rPr>
          <w:rFonts w:hint="eastAsia" w:ascii="Arial" w:hAnsi="Arial" w:eastAsia="宋体"/>
          <w:b w:val="0"/>
          <w:bCs w:val="0"/>
          <w:sz w:val="24"/>
          <w:szCs w:val="24"/>
        </w:rPr>
        <w:t>图1</w:t>
      </w:r>
    </w:p>
    <w:p>
      <w:pPr>
        <w:pStyle w:val="9"/>
        <w:overflowPunct/>
        <w:autoSpaceDE/>
        <w:autoSpaceDN/>
        <w:adjustRightInd/>
        <w:spacing w:line="360" w:lineRule="auto"/>
        <w:ind w:firstLine="480" w:firstLineChars="200"/>
        <w:jc w:val="center"/>
        <w:textAlignment w:val="auto"/>
        <w:rPr>
          <w:rFonts w:hint="default" w:ascii="Arial" w:hAnsi="Arial" w:eastAsia="宋体"/>
          <w:b w:val="0"/>
          <w:bCs w:val="0"/>
          <w:sz w:val="24"/>
          <w:szCs w:val="24"/>
          <w:lang w:val="en-US" w:eastAsia="zh-CN"/>
        </w:rPr>
      </w:pPr>
    </w:p>
    <w:sectPr>
      <w:headerReference r:id="rId12"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4"/>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838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38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4"/>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7104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104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4"/>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80"/>
    </w:pPr>
    <w: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pPr>
                            <w:snapToGrid w:val="0"/>
                            <w:ind w:firstLine="36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w:t>
                          </w:r>
                          <w:r>
                            <w:rPr>
                              <w:rFonts w:hint="eastAsia"/>
                              <w:sz w:val="18"/>
                            </w:rPr>
                            <w:fldChar w:fldCharType="end"/>
                          </w:r>
                        </w:p>
                      </w:txbxContent>
                    </wps:txbx>
                    <wps:bodyPr wrap="none" lIns="0" tIns="0" rIns="0" bIns="0" upright="0">
                      <a:spAutoFit/>
                    </wps:bodyPr>
                  </wps:wsp>
                </a:graphicData>
              </a:graphic>
            </wp:anchor>
          </w:drawing>
        </mc:Choice>
        <mc:Fallback>
          <w:pict>
            <v:shape id="文本框 3"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GhpgkvTAAAABQEAAA8AAAAAAAAAAQAgAAAAIgAAAGRycy9kb3ducmV2LnhtbFBLAQIUABQA&#10;AAAIAIdO4kB1kBH6vAEAAGMDAAAOAAAAAAAAAAEAIAAAACIBAABkcnMvZTJvRG9jLnhtbFBLBQYA&#10;AAAABgAGAFkBAABQBQAAAAA=&#10;">
              <v:fill on="f" focussize="0,0"/>
              <v:stroke on="f" weight="1.25pt"/>
              <v:imagedata o:title=""/>
              <o:lock v:ext="edit" aspectratio="f"/>
              <v:textbox inset="0mm,0mm,0mm,0mm" style="mso-fit-shape-to-text:t;">
                <w:txbxContent>
                  <w:p>
                    <w:pPr>
                      <w:snapToGrid w:val="0"/>
                      <w:ind w:firstLine="36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w:t>
                    </w:r>
                    <w:r>
                      <w:rPr>
                        <w:rFonts w:hint="eastAsia"/>
                        <w:sz w:val="18"/>
                      </w:rPr>
                      <w:fldChar w:fldCharType="end"/>
                    </w: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pPr>
                            <w:snapToGrid w:val="0"/>
                            <w:ind w:firstLine="360"/>
                            <w:rPr>
                              <w:sz w:val="18"/>
                            </w:rPr>
                          </w:pPr>
                        </w:p>
                      </w:txbxContent>
                    </wps:txbx>
                    <wps:bodyPr wrap="none" lIns="0" tIns="0" rIns="0" bIns="0" upright="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GhpgkvTAAAABQEAAA8AAAAAAAAAAQAgAAAAIgAAAGRycy9kb3ducmV2LnhtbFBLAQIUABQA&#10;AAAIAIdO4kBT1y6svAEAAGMDAAAOAAAAAAAAAAEAIAAAACIBAABkcnMvZTJvRG9jLnhtbFBLBQYA&#10;AAAABgAGAFkBAABQBQAAAAA=&#10;">
              <v:fill on="f" focussize="0,0"/>
              <v:stroke on="f" weight="1.25pt"/>
              <v:imagedata o:title=""/>
              <o:lock v:ext="edit" aspectratio="f"/>
              <v:textbox inset="0mm,0mm,0mm,0mm" style="mso-fit-shape-to-text:t;">
                <w:txbxContent>
                  <w:p>
                    <w:pPr>
                      <w:snapToGrid w:val="0"/>
                      <w:ind w:firstLine="360"/>
                      <w:rPr>
                        <w:sz w:val="18"/>
                      </w:rPr>
                    </w:pPr>
                  </w:p>
                </w:txbxContent>
              </v:textbox>
            </v:shape>
          </w:pict>
        </mc:Fallback>
      </mc:AlternateContent>
    </w: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pPr>
                            <w:snapToGrid w:val="0"/>
                            <w:ind w:firstLine="480"/>
                          </w:pPr>
                        </w:p>
                      </w:txbxContent>
                    </wps:txbx>
                    <wps:bodyPr wrap="none" lIns="0" tIns="0" rIns="0" bIns="0" upright="0">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GhpgkvTAAAABQEAAA8AAAAAAAAAAQAgAAAAIgAAAGRycy9kb3ducmV2LnhtbFBLAQIUABQA&#10;AAAIAIdO4kD9i8y4vAEAAGMDAAAOAAAAAAAAAAEAIAAAACIBAABkcnMvZTJvRG9jLnhtbFBLBQYA&#10;AAAABgAGAFkBAABQBQAAAAA=&#10;">
              <v:fill on="f" focussize="0,0"/>
              <v:stroke on="f" weight="1.25pt"/>
              <v:imagedata o:title=""/>
              <o:lock v:ext="edit" aspectratio="f"/>
              <v:textbox inset="0mm,0mm,0mm,0mm" style="mso-fit-shape-to-text:t;">
                <w:txbxContent>
                  <w:p>
                    <w:pPr>
                      <w:snapToGrid w:val="0"/>
                      <w:ind w:firstLine="480"/>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dotted" w:color="auto" w:sz="4" w:space="1"/>
      </w:pBdr>
      <w:jc w:val="center"/>
      <w:rPr>
        <w:rFonts w:ascii="宋体" w:hAnsi="宋体"/>
        <w:kern w:val="28"/>
        <w:sz w:val="32"/>
      </w:rPr>
    </w:pPr>
    <w:r>
      <w:rPr>
        <w:rFonts w:hint="eastAsia" w:ascii="宋体" w:hAnsi="宋体"/>
        <w:kern w:val="28"/>
        <w:sz w:val="32"/>
      </w:rPr>
      <w:t>说</w:t>
    </w:r>
    <w:r>
      <w:rPr>
        <w:rFonts w:hint="eastAsia" w:ascii="宋体" w:hAnsi="宋体"/>
        <w:kern w:val="28"/>
        <w:sz w:val="32"/>
        <w:lang w:val="en-US" w:eastAsia="zh-CN"/>
      </w:rPr>
      <w:t xml:space="preserve"> </w:t>
    </w:r>
    <w:r>
      <w:rPr>
        <w:rFonts w:hint="eastAsia" w:ascii="宋体" w:hAnsi="宋体"/>
        <w:kern w:val="28"/>
        <w:sz w:val="32"/>
      </w:rPr>
      <w:t>明</w:t>
    </w:r>
    <w:r>
      <w:rPr>
        <w:rFonts w:hint="eastAsia" w:ascii="宋体" w:hAnsi="宋体"/>
        <w:kern w:val="28"/>
        <w:sz w:val="32"/>
        <w:lang w:val="en-US" w:eastAsia="zh-CN"/>
      </w:rPr>
      <w:t xml:space="preserve"> </w:t>
    </w:r>
    <w:r>
      <w:rPr>
        <w:rFonts w:hint="eastAsia" w:ascii="宋体" w:hAnsi="宋体"/>
        <w:kern w:val="28"/>
        <w:sz w:val="32"/>
      </w:rPr>
      <w:t>书</w:t>
    </w:r>
    <w:r>
      <w:rPr>
        <w:rFonts w:hint="eastAsia" w:ascii="宋体" w:hAnsi="宋体"/>
        <w:kern w:val="28"/>
        <w:sz w:val="32"/>
        <w:lang w:val="en-US" w:eastAsia="zh-CN"/>
      </w:rPr>
      <w:t xml:space="preserve"> </w:t>
    </w:r>
    <w:r>
      <w:rPr>
        <w:rFonts w:hint="eastAsia" w:ascii="宋体" w:hAnsi="宋体"/>
        <w:kern w:val="28"/>
        <w:sz w:val="32"/>
      </w:rPr>
      <w:t>摘</w:t>
    </w:r>
    <w:r>
      <w:rPr>
        <w:rFonts w:hint="eastAsia" w:ascii="宋体" w:hAnsi="宋体"/>
        <w:kern w:val="28"/>
        <w:sz w:val="32"/>
        <w:lang w:val="en-US" w:eastAsia="zh-CN"/>
      </w:rPr>
      <w:t xml:space="preserve"> </w:t>
    </w:r>
    <w:r>
      <w:rPr>
        <w:rFonts w:hint="eastAsia" w:ascii="宋体" w:hAnsi="宋体"/>
        <w:kern w:val="28"/>
        <w:sz w:val="32"/>
      </w:rPr>
      <w:t>要</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single" w:color="auto" w:sz="4" w:space="1"/>
      </w:pBdr>
      <w:jc w:val="center"/>
      <w:rPr>
        <w:rFonts w:ascii="宋体" w:hAnsi="宋体"/>
        <w:kern w:val="28"/>
        <w:sz w:val="32"/>
      </w:rPr>
    </w:pPr>
    <w:r>
      <w:rPr>
        <w:rFonts w:hint="eastAsia" w:ascii="宋体" w:hAnsi="宋体"/>
        <w:kern w:val="28"/>
        <w:sz w:val="32"/>
      </w:rPr>
      <w:t>摘</w:t>
    </w:r>
    <w:r>
      <w:rPr>
        <w:rFonts w:hint="eastAsia" w:ascii="宋体" w:hAnsi="宋体"/>
        <w:kern w:val="28"/>
        <w:sz w:val="32"/>
        <w:lang w:val="en-US" w:eastAsia="zh-CN"/>
      </w:rPr>
      <w:t xml:space="preserve"> </w:t>
    </w:r>
    <w:r>
      <w:rPr>
        <w:rFonts w:hint="eastAsia" w:ascii="宋体" w:hAnsi="宋体"/>
        <w:kern w:val="28"/>
        <w:sz w:val="32"/>
      </w:rPr>
      <w:t>要</w:t>
    </w:r>
    <w:r>
      <w:rPr>
        <w:rFonts w:hint="eastAsia" w:ascii="宋体" w:hAnsi="宋体"/>
        <w:kern w:val="28"/>
        <w:sz w:val="32"/>
        <w:lang w:val="en-US" w:eastAsia="zh-CN"/>
      </w:rPr>
      <w:t xml:space="preserve"> </w:t>
    </w:r>
    <w:r>
      <w:rPr>
        <w:rFonts w:hint="eastAsia" w:ascii="宋体" w:hAnsi="宋体"/>
        <w:kern w:val="28"/>
        <w:sz w:val="32"/>
      </w:rPr>
      <w:t>附</w:t>
    </w:r>
    <w:r>
      <w:rPr>
        <w:rFonts w:hint="eastAsia" w:ascii="宋体" w:hAnsi="宋体"/>
        <w:kern w:val="28"/>
        <w:sz w:val="32"/>
        <w:lang w:val="en-US" w:eastAsia="zh-CN"/>
      </w:rPr>
      <w:t xml:space="preserve"> </w:t>
    </w:r>
    <w:r>
      <w:rPr>
        <w:rFonts w:hint="eastAsia" w:ascii="宋体" w:hAnsi="宋体"/>
        <w:kern w:val="28"/>
        <w:sz w:val="32"/>
      </w:rPr>
      <w:t>图</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rFonts w:ascii="宋体" w:hAnsi="宋体"/>
        <w:kern w:val="28"/>
        <w:sz w:val="32"/>
      </w:rPr>
    </w:pPr>
    <w:r>
      <w:rPr>
        <w:rFonts w:hint="eastAsia" w:ascii="宋体" w:hAnsi="宋体"/>
        <w:kern w:val="28"/>
        <w:sz w:val="32"/>
      </w:rPr>
      <w:t>摘要附图</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single" w:color="auto" w:sz="4" w:space="1"/>
      </w:pBdr>
      <w:jc w:val="center"/>
      <w:rPr>
        <w:rFonts w:ascii="宋体" w:hAnsi="宋体"/>
        <w:kern w:val="28"/>
        <w:sz w:val="32"/>
      </w:rPr>
    </w:pPr>
    <w:r>
      <w:rPr>
        <w:rFonts w:hint="eastAsia" w:ascii="宋体" w:hAnsi="宋体"/>
        <w:kern w:val="28"/>
        <w:sz w:val="32"/>
      </w:rPr>
      <w:t>权</w:t>
    </w:r>
    <w:r>
      <w:rPr>
        <w:rFonts w:hint="eastAsia" w:ascii="宋体" w:hAnsi="宋体"/>
        <w:kern w:val="28"/>
        <w:sz w:val="32"/>
        <w:lang w:val="en-US" w:eastAsia="zh-CN"/>
      </w:rPr>
      <w:t xml:space="preserve"> </w:t>
    </w:r>
    <w:r>
      <w:rPr>
        <w:rFonts w:hint="eastAsia" w:ascii="宋体" w:hAnsi="宋体"/>
        <w:kern w:val="28"/>
        <w:sz w:val="32"/>
      </w:rPr>
      <w:t>利</w:t>
    </w:r>
    <w:r>
      <w:rPr>
        <w:rFonts w:hint="eastAsia" w:ascii="宋体" w:hAnsi="宋体"/>
        <w:kern w:val="28"/>
        <w:sz w:val="32"/>
        <w:lang w:val="en-US" w:eastAsia="zh-CN"/>
      </w:rPr>
      <w:t xml:space="preserve"> </w:t>
    </w:r>
    <w:r>
      <w:rPr>
        <w:rFonts w:hint="eastAsia" w:ascii="宋体" w:hAnsi="宋体"/>
        <w:kern w:val="28"/>
        <w:sz w:val="32"/>
      </w:rPr>
      <w:t>要</w:t>
    </w:r>
    <w:r>
      <w:rPr>
        <w:rFonts w:hint="eastAsia" w:ascii="宋体" w:hAnsi="宋体"/>
        <w:kern w:val="28"/>
        <w:sz w:val="32"/>
        <w:lang w:val="en-US" w:eastAsia="zh-CN"/>
      </w:rPr>
      <w:t xml:space="preserve"> </w:t>
    </w:r>
    <w:r>
      <w:rPr>
        <w:rFonts w:hint="eastAsia" w:ascii="宋体" w:hAnsi="宋体"/>
        <w:kern w:val="28"/>
        <w:sz w:val="32"/>
      </w:rPr>
      <w:t>求</w:t>
    </w:r>
    <w:r>
      <w:rPr>
        <w:rFonts w:hint="eastAsia" w:ascii="宋体" w:hAnsi="宋体"/>
        <w:kern w:val="28"/>
        <w:sz w:val="32"/>
        <w:lang w:val="en-US" w:eastAsia="zh-CN"/>
      </w:rPr>
      <w:t xml:space="preserve"> </w:t>
    </w:r>
    <w:r>
      <w:rPr>
        <w:rFonts w:hint="eastAsia" w:ascii="宋体" w:hAnsi="宋体"/>
        <w:kern w:val="28"/>
        <w:sz w:val="32"/>
      </w:rPr>
      <w:t>书</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single" w:color="auto" w:sz="4" w:space="1"/>
      </w:pBdr>
      <w:jc w:val="center"/>
      <w:rPr>
        <w:rFonts w:ascii="宋体" w:hAnsi="宋体"/>
        <w:kern w:val="28"/>
        <w:sz w:val="32"/>
      </w:rPr>
    </w:pPr>
    <w:r>
      <w:rPr>
        <w:rFonts w:hint="eastAsia" w:ascii="宋体" w:hAnsi="宋体"/>
        <w:kern w:val="28"/>
        <w:sz w:val="32"/>
      </w:rPr>
      <w:t>说</w:t>
    </w:r>
    <w:r>
      <w:rPr>
        <w:rFonts w:hint="eastAsia" w:ascii="宋体" w:hAnsi="宋体"/>
        <w:kern w:val="28"/>
        <w:sz w:val="32"/>
        <w:lang w:val="en-US" w:eastAsia="zh-CN"/>
      </w:rPr>
      <w:t xml:space="preserve"> </w:t>
    </w:r>
    <w:r>
      <w:rPr>
        <w:rFonts w:hint="eastAsia" w:ascii="宋体" w:hAnsi="宋体"/>
        <w:kern w:val="28"/>
        <w:sz w:val="32"/>
      </w:rPr>
      <w:t>明</w:t>
    </w:r>
    <w:r>
      <w:rPr>
        <w:rFonts w:hint="eastAsia" w:ascii="宋体" w:hAnsi="宋体"/>
        <w:kern w:val="28"/>
        <w:sz w:val="32"/>
        <w:lang w:val="en-US" w:eastAsia="zh-CN"/>
      </w:rPr>
      <w:t xml:space="preserve"> </w:t>
    </w:r>
    <w:r>
      <w:rPr>
        <w:rFonts w:hint="eastAsia" w:ascii="宋体" w:hAnsi="宋体"/>
        <w:kern w:val="28"/>
        <w:sz w:val="32"/>
      </w:rPr>
      <w:t>书</w:t>
    </w:r>
    <w:r>
      <w:rPr>
        <w:rFonts w:hint="eastAsia" w:ascii="宋体" w:hAnsi="宋体"/>
        <w:kern w:val="28"/>
        <w:sz w:val="32"/>
        <w:lang w:val="en-US" w:eastAsia="zh-CN"/>
      </w:rPr>
      <w:t xml:space="preserve">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single" w:color="auto" w:sz="4" w:space="1"/>
      </w:pBdr>
      <w:jc w:val="center"/>
      <w:rPr>
        <w:rFonts w:ascii="宋体" w:hAnsi="宋体"/>
        <w:kern w:val="28"/>
        <w:sz w:val="32"/>
      </w:rPr>
    </w:pPr>
    <w:r>
      <w:rPr>
        <w:rFonts w:hint="eastAsia" w:ascii="宋体" w:hAnsi="宋体"/>
        <w:kern w:val="28"/>
        <w:sz w:val="32"/>
      </w:rPr>
      <w:t>说</w:t>
    </w:r>
    <w:r>
      <w:rPr>
        <w:rFonts w:hint="eastAsia" w:ascii="宋体" w:hAnsi="宋体"/>
        <w:kern w:val="28"/>
        <w:sz w:val="32"/>
        <w:lang w:val="en-US" w:eastAsia="zh-CN"/>
      </w:rPr>
      <w:t xml:space="preserve"> </w:t>
    </w:r>
    <w:r>
      <w:rPr>
        <w:rFonts w:hint="eastAsia" w:ascii="宋体" w:hAnsi="宋体"/>
        <w:kern w:val="28"/>
        <w:sz w:val="32"/>
      </w:rPr>
      <w:t>明</w:t>
    </w:r>
    <w:r>
      <w:rPr>
        <w:rFonts w:hint="eastAsia" w:ascii="宋体" w:hAnsi="宋体"/>
        <w:kern w:val="28"/>
        <w:sz w:val="32"/>
        <w:lang w:val="en-US" w:eastAsia="zh-CN"/>
      </w:rPr>
      <w:t xml:space="preserve"> </w:t>
    </w:r>
    <w:r>
      <w:rPr>
        <w:rFonts w:hint="eastAsia" w:ascii="宋体" w:hAnsi="宋体"/>
        <w:kern w:val="28"/>
        <w:sz w:val="32"/>
      </w:rPr>
      <w:t>书</w:t>
    </w:r>
    <w:r>
      <w:rPr>
        <w:rFonts w:hint="eastAsia" w:ascii="宋体" w:hAnsi="宋体"/>
        <w:kern w:val="28"/>
        <w:sz w:val="32"/>
        <w:lang w:val="en-US" w:eastAsia="zh-CN"/>
      </w:rPr>
      <w:t xml:space="preserve"> 附 图</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DCE0DA"/>
    <w:multiLevelType w:val="singleLevel"/>
    <w:tmpl w:val="8ADCE0DA"/>
    <w:lvl w:ilvl="0" w:tentative="0">
      <w:start w:val="1"/>
      <w:numFmt w:val="decimal"/>
      <w:suff w:val="nothing"/>
      <w:lvlText w:val="（%1）"/>
      <w:lvlJc w:val="left"/>
    </w:lvl>
  </w:abstractNum>
  <w:abstractNum w:abstractNumId="1">
    <w:nsid w:val="F4DFC7C4"/>
    <w:multiLevelType w:val="singleLevel"/>
    <w:tmpl w:val="F4DFC7C4"/>
    <w:lvl w:ilvl="0" w:tentative="0">
      <w:start w:val="1"/>
      <w:numFmt w:val="decimal"/>
      <w:suff w:val="nothing"/>
      <w:lvlText w:val="%1、"/>
      <w:lvlJc w:val="left"/>
    </w:lvl>
  </w:abstractNum>
  <w:abstractNum w:abstractNumId="2">
    <w:nsid w:val="58F467DD"/>
    <w:multiLevelType w:val="singleLevel"/>
    <w:tmpl w:val="58F467DD"/>
    <w:lvl w:ilvl="0" w:tentative="0">
      <w:start w:val="1"/>
      <w:numFmt w:val="lowerLetter"/>
      <w:suff w:val="nothing"/>
      <w:lvlText w:val="%1、"/>
      <w:lvlJc w:val="left"/>
    </w:lvl>
  </w:abstractNum>
  <w:abstractNum w:abstractNumId="3">
    <w:nsid w:val="5C502C63"/>
    <w:multiLevelType w:val="singleLevel"/>
    <w:tmpl w:val="5C502C63"/>
    <w:lvl w:ilvl="0" w:tentative="0">
      <w:start w:val="1"/>
      <w:numFmt w:val="decimal"/>
      <w:suff w:val="nothing"/>
      <w:lvlText w:val="%1、"/>
      <w:lvlJc w:val="left"/>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E30E1E"/>
    <w:rsid w:val="00091204"/>
    <w:rsid w:val="000E4436"/>
    <w:rsid w:val="000F7107"/>
    <w:rsid w:val="0010466E"/>
    <w:rsid w:val="00186BAB"/>
    <w:rsid w:val="0028478E"/>
    <w:rsid w:val="00292EBB"/>
    <w:rsid w:val="002E5E6F"/>
    <w:rsid w:val="00484B8A"/>
    <w:rsid w:val="004A01FC"/>
    <w:rsid w:val="00677462"/>
    <w:rsid w:val="006F63E4"/>
    <w:rsid w:val="00813B97"/>
    <w:rsid w:val="00C47097"/>
    <w:rsid w:val="00F27D1E"/>
    <w:rsid w:val="00FB0CCF"/>
    <w:rsid w:val="015E66FD"/>
    <w:rsid w:val="01D13559"/>
    <w:rsid w:val="021760DC"/>
    <w:rsid w:val="02477163"/>
    <w:rsid w:val="025D25AE"/>
    <w:rsid w:val="026E3E46"/>
    <w:rsid w:val="04000103"/>
    <w:rsid w:val="04374B22"/>
    <w:rsid w:val="04871032"/>
    <w:rsid w:val="05B26CD8"/>
    <w:rsid w:val="05D84371"/>
    <w:rsid w:val="06861D84"/>
    <w:rsid w:val="06CD5758"/>
    <w:rsid w:val="072929D6"/>
    <w:rsid w:val="07AC3885"/>
    <w:rsid w:val="080D407D"/>
    <w:rsid w:val="082A7B65"/>
    <w:rsid w:val="08F91C17"/>
    <w:rsid w:val="090B2FD6"/>
    <w:rsid w:val="093776C5"/>
    <w:rsid w:val="099F106F"/>
    <w:rsid w:val="09CE57DA"/>
    <w:rsid w:val="09F94CA0"/>
    <w:rsid w:val="0AF3707F"/>
    <w:rsid w:val="0B017DA0"/>
    <w:rsid w:val="0B763E95"/>
    <w:rsid w:val="0B7B1D60"/>
    <w:rsid w:val="0D201A4D"/>
    <w:rsid w:val="0D757B59"/>
    <w:rsid w:val="0D804001"/>
    <w:rsid w:val="0F7671A6"/>
    <w:rsid w:val="0FB966C9"/>
    <w:rsid w:val="0FC55770"/>
    <w:rsid w:val="0FE13BA1"/>
    <w:rsid w:val="0FFA60FE"/>
    <w:rsid w:val="11395992"/>
    <w:rsid w:val="131B0E48"/>
    <w:rsid w:val="134304C0"/>
    <w:rsid w:val="13BB73F4"/>
    <w:rsid w:val="14020E13"/>
    <w:rsid w:val="14147060"/>
    <w:rsid w:val="143B74D8"/>
    <w:rsid w:val="143F18BD"/>
    <w:rsid w:val="152730A4"/>
    <w:rsid w:val="16512891"/>
    <w:rsid w:val="16C1266B"/>
    <w:rsid w:val="17A737C6"/>
    <w:rsid w:val="18674572"/>
    <w:rsid w:val="1AE93EE4"/>
    <w:rsid w:val="1B26179D"/>
    <w:rsid w:val="1B2C116C"/>
    <w:rsid w:val="1C5A6980"/>
    <w:rsid w:val="1CC238B7"/>
    <w:rsid w:val="1D296D78"/>
    <w:rsid w:val="1D2C50FA"/>
    <w:rsid w:val="1D5514A8"/>
    <w:rsid w:val="1E041C5E"/>
    <w:rsid w:val="1E3A68B4"/>
    <w:rsid w:val="1F5415AC"/>
    <w:rsid w:val="1F715D92"/>
    <w:rsid w:val="1FFD2B5C"/>
    <w:rsid w:val="20464D8C"/>
    <w:rsid w:val="21491440"/>
    <w:rsid w:val="21FB5EC6"/>
    <w:rsid w:val="224929A0"/>
    <w:rsid w:val="23063684"/>
    <w:rsid w:val="23693B00"/>
    <w:rsid w:val="23DA417F"/>
    <w:rsid w:val="24773E1E"/>
    <w:rsid w:val="253F561A"/>
    <w:rsid w:val="25CF0F51"/>
    <w:rsid w:val="262C48EF"/>
    <w:rsid w:val="266806E8"/>
    <w:rsid w:val="26CC191B"/>
    <w:rsid w:val="26D37E32"/>
    <w:rsid w:val="26EE2299"/>
    <w:rsid w:val="271D4B8D"/>
    <w:rsid w:val="273206B2"/>
    <w:rsid w:val="27DE3AE0"/>
    <w:rsid w:val="27E901AC"/>
    <w:rsid w:val="281F1A35"/>
    <w:rsid w:val="29193829"/>
    <w:rsid w:val="29EB7A80"/>
    <w:rsid w:val="2AC462F0"/>
    <w:rsid w:val="2AF40C5B"/>
    <w:rsid w:val="2B255E26"/>
    <w:rsid w:val="2B3F5DAA"/>
    <w:rsid w:val="2B45091C"/>
    <w:rsid w:val="2C1163BE"/>
    <w:rsid w:val="2D3240B0"/>
    <w:rsid w:val="2D6C4F19"/>
    <w:rsid w:val="2DB953E0"/>
    <w:rsid w:val="2E197145"/>
    <w:rsid w:val="2E26537E"/>
    <w:rsid w:val="2E361771"/>
    <w:rsid w:val="2EC9333C"/>
    <w:rsid w:val="2F351C1A"/>
    <w:rsid w:val="2F4960B5"/>
    <w:rsid w:val="2F5257DB"/>
    <w:rsid w:val="2FC2212F"/>
    <w:rsid w:val="2FE5023E"/>
    <w:rsid w:val="30E1679F"/>
    <w:rsid w:val="311E7B23"/>
    <w:rsid w:val="315C5E24"/>
    <w:rsid w:val="319A0271"/>
    <w:rsid w:val="322C4356"/>
    <w:rsid w:val="32437711"/>
    <w:rsid w:val="325C54A7"/>
    <w:rsid w:val="32C075A5"/>
    <w:rsid w:val="32D82478"/>
    <w:rsid w:val="32FA72C4"/>
    <w:rsid w:val="33DB2D15"/>
    <w:rsid w:val="359752C9"/>
    <w:rsid w:val="359C6F32"/>
    <w:rsid w:val="359E3218"/>
    <w:rsid w:val="35B02811"/>
    <w:rsid w:val="36517793"/>
    <w:rsid w:val="365A439B"/>
    <w:rsid w:val="36663D68"/>
    <w:rsid w:val="369F392D"/>
    <w:rsid w:val="36A6733A"/>
    <w:rsid w:val="37037343"/>
    <w:rsid w:val="37A35CF1"/>
    <w:rsid w:val="37E60A8C"/>
    <w:rsid w:val="37F35400"/>
    <w:rsid w:val="380511F2"/>
    <w:rsid w:val="39265FEE"/>
    <w:rsid w:val="3A0056F4"/>
    <w:rsid w:val="3AE412A4"/>
    <w:rsid w:val="3C576F50"/>
    <w:rsid w:val="3CE5796C"/>
    <w:rsid w:val="3DD95DA9"/>
    <w:rsid w:val="3DE30E1E"/>
    <w:rsid w:val="3E5558F2"/>
    <w:rsid w:val="3FCB5101"/>
    <w:rsid w:val="4020412A"/>
    <w:rsid w:val="41095A30"/>
    <w:rsid w:val="412F6F7E"/>
    <w:rsid w:val="42283E60"/>
    <w:rsid w:val="42631564"/>
    <w:rsid w:val="42D56EBE"/>
    <w:rsid w:val="42EC3AEE"/>
    <w:rsid w:val="4380103E"/>
    <w:rsid w:val="43940E21"/>
    <w:rsid w:val="43AF666C"/>
    <w:rsid w:val="44894775"/>
    <w:rsid w:val="45347896"/>
    <w:rsid w:val="4614622F"/>
    <w:rsid w:val="46206049"/>
    <w:rsid w:val="481D0454"/>
    <w:rsid w:val="483A65D2"/>
    <w:rsid w:val="48A24239"/>
    <w:rsid w:val="48A80E21"/>
    <w:rsid w:val="48D3655E"/>
    <w:rsid w:val="49282F29"/>
    <w:rsid w:val="49FD2DA9"/>
    <w:rsid w:val="4A997088"/>
    <w:rsid w:val="4AC24080"/>
    <w:rsid w:val="4B0D0269"/>
    <w:rsid w:val="4B5535EC"/>
    <w:rsid w:val="4B607EFB"/>
    <w:rsid w:val="4BB310F8"/>
    <w:rsid w:val="4D21312C"/>
    <w:rsid w:val="4D95745F"/>
    <w:rsid w:val="4DE611E3"/>
    <w:rsid w:val="4EF13F77"/>
    <w:rsid w:val="4EFC4385"/>
    <w:rsid w:val="4FFA4B1B"/>
    <w:rsid w:val="50AD2931"/>
    <w:rsid w:val="50F5272A"/>
    <w:rsid w:val="510C4A3D"/>
    <w:rsid w:val="51A269CA"/>
    <w:rsid w:val="524459F8"/>
    <w:rsid w:val="52451D09"/>
    <w:rsid w:val="52554330"/>
    <w:rsid w:val="530439C6"/>
    <w:rsid w:val="538C3724"/>
    <w:rsid w:val="542E2862"/>
    <w:rsid w:val="556B10D6"/>
    <w:rsid w:val="55BE70ED"/>
    <w:rsid w:val="56C87CF9"/>
    <w:rsid w:val="56E100BB"/>
    <w:rsid w:val="57477AFD"/>
    <w:rsid w:val="57480A70"/>
    <w:rsid w:val="58C0209D"/>
    <w:rsid w:val="58E55750"/>
    <w:rsid w:val="59434017"/>
    <w:rsid w:val="59D57959"/>
    <w:rsid w:val="59EF1478"/>
    <w:rsid w:val="5A3C248F"/>
    <w:rsid w:val="5AE372DD"/>
    <w:rsid w:val="5B877399"/>
    <w:rsid w:val="5BA71AED"/>
    <w:rsid w:val="5BB242B0"/>
    <w:rsid w:val="5C5E30AE"/>
    <w:rsid w:val="5C627FA1"/>
    <w:rsid w:val="5CF4183E"/>
    <w:rsid w:val="5F21045E"/>
    <w:rsid w:val="5F5611B4"/>
    <w:rsid w:val="5FAF6AA5"/>
    <w:rsid w:val="610E5E71"/>
    <w:rsid w:val="61632A50"/>
    <w:rsid w:val="6182121E"/>
    <w:rsid w:val="61F5102F"/>
    <w:rsid w:val="621533C2"/>
    <w:rsid w:val="625470A4"/>
    <w:rsid w:val="62D51511"/>
    <w:rsid w:val="634035DD"/>
    <w:rsid w:val="63C64ADF"/>
    <w:rsid w:val="63C87701"/>
    <w:rsid w:val="653626F5"/>
    <w:rsid w:val="65CE21D0"/>
    <w:rsid w:val="6641752D"/>
    <w:rsid w:val="66C14039"/>
    <w:rsid w:val="670768A2"/>
    <w:rsid w:val="670F1840"/>
    <w:rsid w:val="671F6383"/>
    <w:rsid w:val="67A82052"/>
    <w:rsid w:val="67D76F56"/>
    <w:rsid w:val="68314791"/>
    <w:rsid w:val="68734806"/>
    <w:rsid w:val="68A66C9B"/>
    <w:rsid w:val="68C95267"/>
    <w:rsid w:val="68CC30A6"/>
    <w:rsid w:val="691E2971"/>
    <w:rsid w:val="69A4344D"/>
    <w:rsid w:val="69B24A0E"/>
    <w:rsid w:val="69C54D71"/>
    <w:rsid w:val="6A5F0301"/>
    <w:rsid w:val="6B3A2153"/>
    <w:rsid w:val="6C23074D"/>
    <w:rsid w:val="6D1453A5"/>
    <w:rsid w:val="6D535020"/>
    <w:rsid w:val="6DCD2067"/>
    <w:rsid w:val="6E2C6FF1"/>
    <w:rsid w:val="6E367FA1"/>
    <w:rsid w:val="6F322A2B"/>
    <w:rsid w:val="6F546160"/>
    <w:rsid w:val="6F8F0B30"/>
    <w:rsid w:val="707B2241"/>
    <w:rsid w:val="70DE0848"/>
    <w:rsid w:val="717365F3"/>
    <w:rsid w:val="71A518A7"/>
    <w:rsid w:val="71AF79C6"/>
    <w:rsid w:val="720B4AFF"/>
    <w:rsid w:val="729A217F"/>
    <w:rsid w:val="7354146A"/>
    <w:rsid w:val="73566D03"/>
    <w:rsid w:val="73C73D81"/>
    <w:rsid w:val="74D4633B"/>
    <w:rsid w:val="74F46763"/>
    <w:rsid w:val="75A03406"/>
    <w:rsid w:val="770C0254"/>
    <w:rsid w:val="77E70F96"/>
    <w:rsid w:val="78201084"/>
    <w:rsid w:val="78276F25"/>
    <w:rsid w:val="78C87060"/>
    <w:rsid w:val="78EF3CEA"/>
    <w:rsid w:val="79176953"/>
    <w:rsid w:val="798C2A60"/>
    <w:rsid w:val="79B06778"/>
    <w:rsid w:val="7A144783"/>
    <w:rsid w:val="7ACE5A4A"/>
    <w:rsid w:val="7B752B32"/>
    <w:rsid w:val="7BE7580F"/>
    <w:rsid w:val="7C266462"/>
    <w:rsid w:val="7C2B0786"/>
    <w:rsid w:val="7C342328"/>
    <w:rsid w:val="7C373C2F"/>
    <w:rsid w:val="7D7E0622"/>
    <w:rsid w:val="7E76161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alloon Text"/>
    <w:basedOn w:val="1"/>
    <w:link w:val="11"/>
    <w:qFormat/>
    <w:uiPriority w:val="0"/>
    <w:rPr>
      <w:sz w:val="18"/>
      <w:szCs w:val="1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9">
    <w:name w:val="È±Ê¡ÎÄ±¾"/>
    <w:basedOn w:val="1"/>
    <w:qFormat/>
    <w:uiPriority w:val="0"/>
    <w:pPr>
      <w:widowControl/>
      <w:overflowPunct w:val="0"/>
      <w:autoSpaceDE w:val="0"/>
      <w:autoSpaceDN w:val="0"/>
      <w:adjustRightInd w:val="0"/>
      <w:jc w:val="left"/>
      <w:textAlignment w:val="baseline"/>
    </w:pPr>
    <w:rPr>
      <w:rFonts w:eastAsia="宋体"/>
      <w:kern w:val="0"/>
      <w:sz w:val="24"/>
    </w:rPr>
  </w:style>
  <w:style w:type="paragraph" w:customStyle="1" w:styleId="10">
    <w:name w:val="p0"/>
    <w:basedOn w:val="1"/>
    <w:qFormat/>
    <w:uiPriority w:val="0"/>
    <w:pPr>
      <w:widowControl/>
    </w:pPr>
    <w:rPr>
      <w:rFonts w:ascii="宋体" w:hAnsi="宋体" w:cs="宋体"/>
      <w:b/>
      <w:bCs/>
      <w:kern w:val="0"/>
    </w:rPr>
  </w:style>
  <w:style w:type="character" w:customStyle="1" w:styleId="11">
    <w:name w:val="批注框文本 Char"/>
    <w:basedOn w:val="8"/>
    <w:link w:val="3"/>
    <w:qFormat/>
    <w:uiPriority w:val="0"/>
    <w:rPr>
      <w:rFonts w:asciiTheme="minorHAnsi" w:hAnsiTheme="minorHAnsi" w:eastAsiaTheme="minorEastAsia" w:cstheme="minorBidi"/>
      <w:kern w:val="2"/>
      <w:sz w:val="18"/>
      <w:szCs w:val="18"/>
    </w:rPr>
  </w:style>
  <w:style w:type="paragraph" w:styleId="1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jpeg"/><Relationship Id="rId13" Type="http://schemas.openxmlformats.org/officeDocument/2006/relationships/theme" Target="theme/theme1.xml"/><Relationship Id="rId12" Type="http://schemas.openxmlformats.org/officeDocument/2006/relationships/header" Target="header6.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3FAD8E8-40F9-4880-9117-B8A6C84FBC9D}">
  <ds:schemaRefs/>
</ds:datastoreItem>
</file>

<file path=docProps/app.xml><?xml version="1.0" encoding="utf-8"?>
<Properties xmlns="http://schemas.openxmlformats.org/officeDocument/2006/extended-properties" xmlns:vt="http://schemas.openxmlformats.org/officeDocument/2006/docPropsVTypes">
  <Template>0</Template>
  <Company>Microsoft</Company>
  <Pages>9</Pages>
  <Words>4105</Words>
  <Characters>285</Characters>
  <Lines>2</Lines>
  <Paragraphs>8</Paragraphs>
  <TotalTime>1</TotalTime>
  <ScaleCrop>false</ScaleCrop>
  <LinksUpToDate>false</LinksUpToDate>
  <CharactersWithSpaces>4382</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2018-11-23T11:53:00Z</dcterms:created>
  <dc:creator>机械鱼人</dc:creator>
  <cp:lastModifiedBy>wlin</cp:lastModifiedBy>
  <dcterms:modified xsi:type="dcterms:W3CDTF">2019-06-14T08:25:29Z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y fmtid="{D5CDD505-2E9C-101B-9397-08002B2CF9AE}" pid="3" name="KSORubyTemplateID" linkTarget="0">
    <vt:lpwstr>6</vt:lpwstr>
  </property>
</Properties>
</file>