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eastAsiaTheme="minorEastAsia" w:cstheme="minorEastAsia"/>
          <w:color w:val="auto"/>
          <w:sz w:val="28"/>
          <w:szCs w:val="28"/>
        </w:rPr>
        <w:t>本实用新型公开了一种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水驱油实验装置</w:t>
      </w:r>
      <w:r>
        <w:rPr>
          <w:rFonts w:hint="eastAsia" w:asciiTheme="minorEastAsia" w:hAnsiTheme="minorEastAsia" w:eastAsiaTheme="minorEastAsia" w:cstheme="minorEastAsia"/>
          <w:color w:val="auto"/>
          <w:sz w:val="28"/>
          <w:szCs w:val="28"/>
        </w:rPr>
        <w:t>技术领域。该</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板的顶部左侧转动连接有放置板，底板的顶部右侧固定安装有液压气缸，放置板的底部通过固定块固定安装有滑杆，滑杆的表面套设有滑块，液压气缸的输出端通过调节装置与滑块转动连接，底板的前侧固定安装有弧形筒，放置板的前侧与弧形筒设置有与弧形筒配合的弧形块，弧形块的底端延伸至弧形筒的内部</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本实用新型</w:t>
      </w:r>
      <w:r>
        <w:rPr>
          <w:rFonts w:hint="eastAsia" w:asciiTheme="minorEastAsia" w:hAnsiTheme="minorEastAsia" w:eastAsiaTheme="minorEastAsia" w:cstheme="minorEastAsia"/>
          <w:color w:val="auto"/>
          <w:sz w:val="28"/>
          <w:szCs w:val="28"/>
          <w:lang w:eastAsia="zh-CN"/>
        </w:rPr>
        <w:t>通过设置了液压气缸和调节装置，可以准确的控制油层模型的水平角度，可用于实验不同</w:t>
      </w:r>
      <w:r>
        <w:rPr>
          <w:rFonts w:hint="eastAsia" w:asciiTheme="minorEastAsia" w:hAnsiTheme="minorEastAsia" w:eastAsiaTheme="minorEastAsia" w:cstheme="minorEastAsia"/>
          <w:color w:val="auto"/>
          <w:sz w:val="28"/>
          <w:szCs w:val="28"/>
        </w:rPr>
        <w:t>不同倾角下重力分异作用</w:t>
      </w:r>
      <w:r>
        <w:rPr>
          <w:rFonts w:hint="eastAsia" w:asciiTheme="minorEastAsia" w:hAnsiTheme="minorEastAsia" w:eastAsiaTheme="minorEastAsia" w:cstheme="minorEastAsia"/>
          <w:color w:val="auto"/>
          <w:sz w:val="28"/>
          <w:szCs w:val="28"/>
          <w:lang w:eastAsia="zh-CN"/>
        </w:rPr>
        <w:t>状况，填补了现有实验装置的空白，促进采油工业技术的研究</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8"/>
          <w:szCs w:val="28"/>
        </w:rPr>
        <w:sectPr>
          <w:headerReference r:id="rId9" w:type="default"/>
          <w:footerReference r:id="rId10"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rPr>
        <w:drawing>
          <wp:inline distT="0" distB="0" distL="114300" distR="114300">
            <wp:extent cx="4911725" cy="4072255"/>
            <wp:effectExtent l="0" t="0" r="3175" b="444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8"/>
                    <a:stretch>
                      <a:fillRect/>
                    </a:stretch>
                  </pic:blipFill>
                  <pic:spPr>
                    <a:xfrm>
                      <a:off x="0" y="0"/>
                      <a:ext cx="4911725" cy="40722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，其特征在于</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）的顶部左侧转动连接有放置板（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），所述底板（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）的顶部右侧固定安装有液压气缸（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），所述放置板（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）的底部通过固定块固定安装有滑杆（</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），所述滑杆（</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）的表面套设有滑块（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），所述液压气缸（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）的输出端通过调节装置与滑块（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）转动连接，所述底板（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）的前侧固定安装有弧形筒（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），所述放置板（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）的前侧与弧形筒（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）设置有与弧形筒（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）配合的弧形块（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），所述弧形块（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）的底端延伸至弧形筒（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）的内部，且弧形块（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）前侧设置有刻度。</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2．根据权利要求1所述的一种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调节装置包括固定安装在液压气缸（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）输出端顶部的第一垫板（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）和与滑块（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）转动连接的顶块（</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），所述第一垫板（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）的顶部固定安装有螺纹箱（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），所述螺纹箱（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）的内部转动连接有螺纹筒（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），所述螺纹筒（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）的周侧面固定安装有第一锥齿轮（</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），所述螺纹箱（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）右侧壁贯穿有转动轴（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），所述转动轴（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）的位于螺纹箱（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）内部的一端固定安装有第二锥齿轮（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），所述第二锥齿轮（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），且第二锥齿轮（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）与第一锥齿轮（</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）相互啮合，所述螺纹筒（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）的内部设置有螺纹杆（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），所述螺纹杆（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）的顶部贯穿螺纹箱（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）的顶板并与安装在顶块（</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）底部的第二垫板（</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）固定连接，所述螺纹杆（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）的底端贯穿螺纹箱（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）的底板和第一垫板（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）并延伸至液压气缸（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）输出端内部。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3．根据权利要求1所述的一种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）的顶部固定安装有厚层模型，所述厚层模型包括三块基材（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），所述基材（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）的内部开设有油层槽（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），所述油层槽（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）的两侧均开设有流体通道（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），且流体通道（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）与油层槽（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）之间通过通孔（</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）连通，所述油层槽（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）的内部设置有若干电极（</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），且电极（</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）由电阻丝串联，所述基材（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）左侧的流体通道（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）开设有进水管（</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），所述基材（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）有侧的流体通道（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）开设有出油管（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）和清洗管（</w:t>
      </w:r>
      <w:r>
        <w:rPr>
          <w:rFonts w:hint="eastAsia" w:asciiTheme="minorEastAsia" w:hAnsiTheme="minorEastAsia" w:cstheme="minorEastAsia"/>
          <w:color w:val="auto"/>
          <w:sz w:val="28"/>
          <w:szCs w:val="28"/>
          <w:lang w:val="en-US" w:eastAsia="zh-CN"/>
        </w:rPr>
        <w:t>24</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4．根据权利要求</w:t>
      </w: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所述的一种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第二垫板（</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）的底部固定安装有若干导向杆（</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），且导向杆（</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）的底端贯穿第一垫板（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）并延伸至第一垫板（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）的下方。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．根据权利要求</w:t>
      </w: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所述的一种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）位于螺纹箱（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）外部的一端固定安装有转动把手（</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．根据权利要求1所述的一种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）与放置板（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）之间的夹角为</w:t>
      </w:r>
      <w:r>
        <w:rPr>
          <w:rFonts w:hint="eastAsia" w:asciiTheme="minorEastAsia" w:hAnsiTheme="minorEastAsia" w:cstheme="minorEastAsia"/>
          <w:color w:val="auto"/>
          <w:sz w:val="28"/>
          <w:szCs w:val="28"/>
          <w:lang w:val="en-US" w:eastAsia="zh-CN"/>
        </w:rPr>
        <w:t>30度至60度之间</w:t>
      </w:r>
      <w:r>
        <w:rPr>
          <w:rFonts w:hint="eastAsia" w:asciiTheme="minorEastAsia" w:hAnsiTheme="minorEastAsia" w:eastAsiaTheme="minorEastAsia" w:cstheme="minorEastAsia"/>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280" w:firstLineChars="100"/>
        <w:textAlignment w:val="auto"/>
        <w:rPr>
          <w:rFonts w:hint="eastAsia" w:asciiTheme="minorEastAsia" w:hAnsiTheme="minorEastAsia" w:eastAsiaTheme="minorEastAsia" w:cstheme="minorEastAsia"/>
          <w:color w:val="auto"/>
          <w:sz w:val="28"/>
          <w:szCs w:val="28"/>
        </w:rPr>
        <w:sectPr>
          <w:headerReference r:id="rId11" w:type="default"/>
          <w:footerReference r:id="rId12" w:type="default"/>
          <w:pgSz w:w="11906" w:h="16838"/>
          <w:pgMar w:top="1418" w:right="1134" w:bottom="1134" w:left="1418" w:header="567" w:footer="567" w:gutter="0"/>
          <w:pgNumType w:start="1"/>
          <w:cols w:space="720" w:num="1"/>
          <w:docGrid w:type="lines" w:linePitch="381" w:charSpace="0"/>
        </w:sect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一种</w:t>
      </w:r>
      <w:r>
        <w:rPr>
          <w:rFonts w:hint="eastAsia" w:asciiTheme="minorEastAsia" w:hAnsiTheme="minorEastAsia" w:cstheme="minorEastAsia"/>
          <w:b/>
          <w:bCs/>
          <w:color w:val="auto"/>
          <w:sz w:val="28"/>
          <w:szCs w:val="28"/>
          <w:lang w:val="en-US" w:eastAsia="zh-CN"/>
        </w:rPr>
        <w:t>分析纵向非均质厚层模型水驱油的实验装置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技术领域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水驱油实验装置</w:t>
      </w:r>
      <w:r>
        <w:rPr>
          <w:rFonts w:hint="eastAsia" w:asciiTheme="minorEastAsia" w:hAnsiTheme="minorEastAsia" w:eastAsiaTheme="minorEastAsia" w:cstheme="minorEastAsia"/>
          <w:color w:val="auto"/>
          <w:sz w:val="28"/>
          <w:szCs w:val="28"/>
        </w:rPr>
        <w:t>技术领域，具体为一种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背景技术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厚层模型驱替实验是研究厚层油藏相关特性最重要的实验方法，包括研究不同倾角下的重力分异作用、采收率等</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研究驱替厚层模型的重力分异作用，能够指导类似厚油藏的有效开发，不同倾角下重力分异作用对厚油藏的开发是否有利，只有通过实验研究才能确定</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目前，对不同倾角下重力分异作用的研究甚少，还没有出现一种系统的研究方法和实验装置</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所以针对厚层模型在驱替过程当中，是否存在重力分异作用，且重力分异作用是否有利于该类油藏开发，</w:t>
      </w:r>
      <w:r>
        <w:rPr>
          <w:rFonts w:hint="eastAsia" w:asciiTheme="minorEastAsia" w:hAnsiTheme="minorEastAsia" w:cstheme="minorEastAsia"/>
          <w:color w:val="auto"/>
          <w:sz w:val="28"/>
          <w:szCs w:val="28"/>
          <w:lang w:val="en-US" w:eastAsia="zh-CN"/>
        </w:rPr>
        <w:t>分析纵向非均质厚层模型水驱油的实验装置。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实用新型内容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针对现有技术的不足，本实用新型提供了一种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w:t>
      </w:r>
      <w:bookmarkStart w:id="0" w:name="OLE_LINK12"/>
      <w:bookmarkStart w:id="1" w:name="OLE_LINK13"/>
      <w:r>
        <w:rPr>
          <w:rFonts w:hint="eastAsia" w:asciiTheme="minorEastAsia" w:hAnsiTheme="minorEastAsia" w:eastAsiaTheme="minorEastAsia" w:cstheme="minorEastAsia"/>
          <w:color w:val="auto"/>
          <w:sz w:val="28"/>
          <w:szCs w:val="28"/>
        </w:rPr>
        <w:t>解决了</w:t>
      </w:r>
      <w:bookmarkEnd w:id="0"/>
      <w:bookmarkEnd w:id="1"/>
      <w:r>
        <w:rPr>
          <w:rFonts w:hint="eastAsia" w:asciiTheme="minorEastAsia" w:hAnsiTheme="minorEastAsia" w:cstheme="minorEastAsia"/>
          <w:color w:val="auto"/>
          <w:sz w:val="28"/>
          <w:szCs w:val="28"/>
          <w:lang w:val="en-US" w:eastAsia="zh-CN"/>
        </w:rPr>
        <w:t>现有技术缺少对</w:t>
      </w:r>
      <w:r>
        <w:rPr>
          <w:rFonts w:hint="eastAsia" w:asciiTheme="minorEastAsia" w:hAnsiTheme="minorEastAsia" w:eastAsiaTheme="minorEastAsia" w:cstheme="minorEastAsia"/>
          <w:color w:val="auto"/>
          <w:sz w:val="28"/>
          <w:szCs w:val="28"/>
        </w:rPr>
        <w:t>对不同倾角下重力分异作用</w:t>
      </w:r>
      <w:r>
        <w:rPr>
          <w:rFonts w:hint="eastAsia" w:asciiTheme="minorEastAsia" w:hAnsiTheme="minorEastAsia" w:eastAsiaTheme="minorEastAsia" w:cstheme="minorEastAsia"/>
          <w:color w:val="auto"/>
          <w:sz w:val="28"/>
          <w:szCs w:val="28"/>
          <w:lang w:val="en-US" w:eastAsia="zh-CN"/>
        </w:rPr>
        <w:t>的</w:t>
      </w:r>
      <w:r>
        <w:rPr>
          <w:rFonts w:hint="eastAsia" w:asciiTheme="minorEastAsia" w:hAnsiTheme="minorEastAsia" w:cstheme="minorEastAsia"/>
          <w:color w:val="auto"/>
          <w:sz w:val="28"/>
          <w:szCs w:val="28"/>
          <w:lang w:val="en-US" w:eastAsia="zh-CN"/>
        </w:rPr>
        <w:t>装置的</w:t>
      </w:r>
      <w:r>
        <w:rPr>
          <w:rFonts w:hint="eastAsia" w:asciiTheme="minorEastAsia" w:hAnsiTheme="minorEastAsia" w:eastAsiaTheme="minorEastAsia" w:cstheme="minorEastAsia"/>
          <w:color w:val="auto"/>
          <w:sz w:val="28"/>
          <w:szCs w:val="28"/>
        </w:rPr>
        <w:t>问题。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为实现以上目的，本实用新型通过以下技术方案予以实现：一种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板的顶部左侧转动连接有放置板，所述底板的顶部右侧固定安装有液压气缸，所述放置板的底部通过固定块固定安装有滑杆，所述滑杆的表面套设有滑块，所述液压气缸的输出端通过调节装置与滑块转动连接，所述底板的前侧固定安装有弧形筒，所述放置板的前侧与弧形筒设置有与弧形筒配合的弧形块，所述弧形块的底端延伸至弧形筒的内部，且弧形块前侧设置有刻度。</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调节装置包括固定安装在液压气缸输出端顶部的第一垫板和与滑块转动连接的顶块，所述第一垫板的顶部固定安装有螺纹箱，所述螺纹箱的内部转动连接有螺纹筒，所述螺纹筒的周侧面固定安装有第一锥齿轮，所述螺纹箱右侧壁贯穿有转动轴，所述转动轴的位于螺纹箱内部的一端固定安装有第二锥齿轮，所述第二锥齿轮，且第二锥齿轮与第一锥齿轮相互啮合，所述螺纹筒的内部设置有螺纹杆，所述螺纹杆的顶部贯穿螺纹箱的顶板并与安装在顶块底部的第二垫板固定连接，所述螺纹杆的底端贯穿螺纹箱的底板和第一垫板并延伸至液压气缸输出端内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放置板的顶部固定安装有厚层模型，所述厚层模型包括三块基材，所述基材的内部开设有油层槽，所述油层槽的两侧均开设有流体通道，且流体通道与油层槽之间通过通孔连通，所述油层槽的内部设置有若干电极，且电极由电阻丝串联，所述基材左侧的流体通道开设有进水管，所述基材有侧的流体通道开设有出油管和清洗管。</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第一垫板的底部固定安装有若干导向杆，且导向杆的底端贯穿第二垫板并延伸至第二垫板的下方。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转动轴位于螺纹箱外部的一端固定安装有转动把手。</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底板与放置板之间的夹角为</w:t>
      </w:r>
      <w:r>
        <w:rPr>
          <w:rFonts w:hint="eastAsia" w:asciiTheme="minorEastAsia" w:hAnsiTheme="minorEastAsia" w:cstheme="minorEastAsia"/>
          <w:color w:val="auto"/>
          <w:sz w:val="28"/>
          <w:szCs w:val="28"/>
          <w:lang w:val="en-US" w:eastAsia="zh-CN"/>
        </w:rPr>
        <w:t>30度至60度之间</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有益效果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本实用新型提供了一种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。具备</w:t>
      </w:r>
      <w:r>
        <w:rPr>
          <w:rFonts w:hint="eastAsia" w:asciiTheme="minorEastAsia" w:hAnsiTheme="minorEastAsia" w:eastAsiaTheme="minorEastAsia" w:cstheme="minorEastAsia"/>
          <w:color w:val="auto"/>
          <w:sz w:val="28"/>
          <w:szCs w:val="28"/>
          <w:lang w:eastAsia="zh-CN"/>
        </w:rPr>
        <w:t>以</w:t>
      </w:r>
      <w:r>
        <w:rPr>
          <w:rFonts w:hint="eastAsia" w:asciiTheme="minorEastAsia" w:hAnsiTheme="minorEastAsia" w:eastAsiaTheme="minorEastAsia" w:cstheme="minorEastAsia"/>
          <w:color w:val="auto"/>
          <w:sz w:val="28"/>
          <w:szCs w:val="28"/>
        </w:rPr>
        <w:t>下有益效果：</w:t>
      </w:r>
    </w:p>
    <w:p>
      <w:pPr>
        <w:pStyle w:val="6"/>
        <w:keepNext w:val="0"/>
        <w:keepLines w:val="0"/>
        <w:pageBreakBefore w:val="0"/>
        <w:kinsoku/>
        <w:wordWrap/>
        <w:overflowPunct/>
        <w:topLinePunct w:val="0"/>
        <w:autoSpaceDE/>
        <w:autoSpaceDN/>
        <w:bidi w:val="0"/>
        <w:adjustRightInd/>
        <w:snapToGrid/>
        <w:spacing w:before="0" w:beforeLines="0" w:line="360" w:lineRule="auto"/>
        <w:ind w:left="0" w:leftChars="0" w:right="0" w:rightChars="0" w:firstLine="510"/>
        <w:textAlignment w:val="auto"/>
        <w:rPr>
          <w:rFonts w:hint="eastAsia" w:asciiTheme="minorEastAsia" w:hAnsiTheme="minorEastAsia" w:eastAsiaTheme="minorEastAsia" w:cstheme="minorEastAsia"/>
          <w:color w:val="auto"/>
          <w:sz w:val="28"/>
          <w:szCs w:val="28"/>
        </w:rPr>
      </w:pPr>
      <w:bookmarkStart w:id="2" w:name="OLE_LINK61"/>
      <w:bookmarkStart w:id="3" w:name="OLE_LINK74"/>
      <w:bookmarkStart w:id="4" w:name="OLE_LINK62"/>
      <w:bookmarkStart w:id="5" w:name="OLE_LINK73"/>
      <w:bookmarkStart w:id="6" w:name="OLE_LINK85"/>
      <w:r>
        <w:rPr>
          <w:rFonts w:hint="eastAsia" w:asciiTheme="minorEastAsia" w:hAnsiTheme="minorEastAsia" w:eastAsiaTheme="minorEastAsia" w:cstheme="minorEastAsia"/>
          <w:color w:val="auto"/>
          <w:sz w:val="28"/>
          <w:szCs w:val="28"/>
        </w:rPr>
        <w:t>该</w:t>
      </w:r>
      <w:bookmarkEnd w:id="2"/>
      <w:bookmarkEnd w:id="3"/>
      <w:bookmarkEnd w:id="4"/>
      <w:bookmarkEnd w:id="5"/>
      <w:bookmarkEnd w:id="6"/>
      <w:r>
        <w:rPr>
          <w:rFonts w:hint="eastAsia" w:asciiTheme="minorEastAsia" w:hAnsiTheme="minorEastAsia" w:eastAsia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lang w:eastAsia="zh-CN"/>
        </w:rPr>
        <w:t>，通过设置了液压气缸和调节装置，可以准确的控制油层模型的水平角度，可用于实验不同</w:t>
      </w:r>
      <w:r>
        <w:rPr>
          <w:rFonts w:hint="eastAsia" w:asciiTheme="minorEastAsia" w:hAnsiTheme="minorEastAsia" w:eastAsiaTheme="minorEastAsia" w:cstheme="minorEastAsia"/>
          <w:color w:val="auto"/>
          <w:sz w:val="28"/>
          <w:szCs w:val="28"/>
        </w:rPr>
        <w:t>不同倾角下重力分异作用</w:t>
      </w:r>
      <w:r>
        <w:rPr>
          <w:rFonts w:hint="eastAsia" w:asciiTheme="minorEastAsia" w:hAnsiTheme="minorEastAsia" w:eastAsiaTheme="minorEastAsia" w:cstheme="minorEastAsia"/>
          <w:color w:val="auto"/>
          <w:sz w:val="28"/>
          <w:szCs w:val="28"/>
          <w:lang w:eastAsia="zh-CN"/>
        </w:rPr>
        <w:t>状况，填补了现有实验装置的空白，促进采油工业技术的研究</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附图说明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图1为本实用新型</w:t>
      </w:r>
      <w:r>
        <w:rPr>
          <w:rFonts w:hint="eastAsia" w:asciiTheme="minorEastAsia" w:hAnsiTheme="minorEastAsia" w:cstheme="minorEastAsia"/>
          <w:color w:val="auto"/>
          <w:sz w:val="28"/>
          <w:szCs w:val="28"/>
          <w:lang w:eastAsia="zh-CN"/>
        </w:rPr>
        <w:t>主视图</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图2为本实用新型</w:t>
      </w:r>
      <w:r>
        <w:rPr>
          <w:rFonts w:hint="eastAsia" w:asciiTheme="minorEastAsia" w:hAnsiTheme="minorEastAsia" w:cstheme="minorEastAsia"/>
          <w:color w:val="auto"/>
          <w:sz w:val="28"/>
          <w:szCs w:val="28"/>
          <w:lang w:eastAsia="zh-CN"/>
        </w:rPr>
        <w:t>的调节装置剖视图；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图</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为本实用新型</w:t>
      </w:r>
      <w:r>
        <w:rPr>
          <w:rFonts w:hint="eastAsia" w:asciiTheme="minorEastAsia" w:hAnsiTheme="minorEastAsia" w:cstheme="minorEastAsia"/>
          <w:color w:val="auto"/>
          <w:sz w:val="28"/>
          <w:szCs w:val="28"/>
          <w:lang w:eastAsia="zh-CN"/>
        </w:rPr>
        <w:t>的厚层模型俯视剖视图；</w:t>
      </w:r>
      <w:bookmarkStart w:id="8" w:name="_GoBack"/>
      <w:bookmarkEnd w:id="8"/>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图中</w:t>
      </w: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放置板</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液压气缸</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滑杆</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滑块</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弧形筒</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弧形块</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第一垫板</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螺纹箱</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螺纹筒</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第一锥齿轮</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转动轴</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第二锥齿轮</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螺纹杆</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顶块</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第二垫板</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基材</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油层槽</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流体通道</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通孔</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电极</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进水管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出油管</w:t>
      </w:r>
      <w:r>
        <w:rPr>
          <w:rFonts w:hint="eastAsia" w:asciiTheme="minorEastAsia" w:hAnsiTheme="minorEastAsia" w:cstheme="minorEastAsia"/>
          <w:color w:val="auto"/>
          <w:sz w:val="28"/>
          <w:szCs w:val="28"/>
          <w:lang w:val="en-US" w:eastAsia="zh-CN"/>
        </w:rPr>
        <w:t>；24、</w:t>
      </w:r>
      <w:r>
        <w:rPr>
          <w:rFonts w:hint="eastAsia" w:asciiTheme="minorEastAsia" w:hAnsiTheme="minorEastAsia" w:cstheme="minorEastAsia"/>
          <w:color w:val="auto"/>
          <w:sz w:val="28"/>
          <w:szCs w:val="28"/>
          <w:lang w:eastAsia="zh-CN"/>
        </w:rPr>
        <w:t>清洗管</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导向杆；</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转动把手。</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7" w:name="OLE_LINK1"/>
      <w:r>
        <w:rPr>
          <w:rFonts w:hint="eastAsia" w:asciiTheme="minorEastAsia" w:hAnsiTheme="minorEastAsia" w:eastAsiaTheme="minorEastAsia" w:cstheme="minorEastAsia"/>
          <w:color w:val="auto"/>
          <w:sz w:val="28"/>
          <w:szCs w:val="28"/>
        </w:rPr>
        <w:t>造性劳动前提下所获得的所有其他实</w:t>
      </w:r>
      <w:bookmarkEnd w:id="7"/>
      <w:r>
        <w:rPr>
          <w:rFonts w:hint="eastAsia" w:asciiTheme="minorEastAsia" w:hAnsiTheme="minorEastAsia" w:eastAsiaTheme="minorEastAsia" w:cstheme="minorEastAsia"/>
          <w:color w:val="auto"/>
          <w:sz w:val="28"/>
          <w:szCs w:val="28"/>
        </w:rPr>
        <w:t>施例，都属于本实用新型保护的范围。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宋体" w:hAnsi="宋体"/>
          <w:color w:val="auto"/>
          <w:sz w:val="28"/>
          <w:szCs w:val="28"/>
        </w:rPr>
        <w:t>请参阅图1</w:t>
      </w:r>
      <w:r>
        <w:rPr>
          <w:rFonts w:hint="eastAsia" w:ascii="宋体" w:hAnsi="宋体"/>
          <w:color w:val="auto"/>
          <w:sz w:val="28"/>
          <w:szCs w:val="28"/>
          <w:lang w:val="en-US" w:eastAsia="zh-CN"/>
        </w:rPr>
        <w:t>-3</w:t>
      </w:r>
      <w:r>
        <w:rPr>
          <w:rFonts w:hint="eastAsia" w:ascii="宋体" w:hAnsi="宋体"/>
          <w:color w:val="auto"/>
          <w:sz w:val="28"/>
          <w:szCs w:val="28"/>
        </w:rPr>
        <w:t>，本实用新型提供一种技术方案：一种</w:t>
      </w:r>
      <w:r>
        <w:rPr>
          <w:rFonts w:hint="eastAsia" w:asciiTheme="minorEastAsia" w:hAnsiTheme="minorEastAsia" w:cstheme="minorEastAsia"/>
          <w:color w:val="auto"/>
          <w:sz w:val="28"/>
          <w:szCs w:val="28"/>
          <w:lang w:val="en-US" w:eastAsia="zh-CN"/>
        </w:rPr>
        <w:t>分析纵向非均质厚层模型水驱油的实验装置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的顶部左侧转动连接有放置板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的顶部右侧固定安装有液压气缸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的底部通过固定块固定安装有滑杆</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，滑杆</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的表面套设有滑块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的输出端通过调节装置与滑块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转动连接，底板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的前侧固定安装有弧形筒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的前侧与弧形筒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设置有与弧形筒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配合的弧形块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的底端延伸至弧形筒</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的内部，且弧形块</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前侧设置有刻度，底板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与放置板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之间的夹角为</w:t>
      </w:r>
      <w:r>
        <w:rPr>
          <w:rFonts w:hint="eastAsia" w:asciiTheme="minorEastAsia" w:hAnsiTheme="minorEastAsia" w:cstheme="minorEastAsia"/>
          <w:color w:val="auto"/>
          <w:sz w:val="28"/>
          <w:szCs w:val="28"/>
          <w:lang w:val="en-US" w:eastAsia="zh-CN"/>
        </w:rPr>
        <w:t>30度至60度之间，</w:t>
      </w:r>
      <w:r>
        <w:rPr>
          <w:rFonts w:hint="eastAsia" w:asciiTheme="minorEastAsia" w:hAnsiTheme="minorEastAsia" w:eastAsiaTheme="minorEastAsia" w:cstheme="minorEastAsia"/>
          <w:color w:val="auto"/>
          <w:sz w:val="28"/>
          <w:szCs w:val="28"/>
          <w:lang w:eastAsia="zh-CN"/>
        </w:rPr>
        <w:t>通过设置了液压气缸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eastAsia="zh-CN"/>
        </w:rPr>
        <w:t>和调节装置，可以准确的控制油层模型的水平角度，可用于实验不同</w:t>
      </w:r>
      <w:r>
        <w:rPr>
          <w:rFonts w:hint="eastAsia" w:asciiTheme="minorEastAsia" w:hAnsiTheme="minorEastAsia" w:eastAsiaTheme="minorEastAsia" w:cstheme="minorEastAsia"/>
          <w:color w:val="auto"/>
          <w:sz w:val="28"/>
          <w:szCs w:val="28"/>
        </w:rPr>
        <w:t>不同倾角下重力分异作用</w:t>
      </w:r>
      <w:r>
        <w:rPr>
          <w:rFonts w:hint="eastAsia" w:asciiTheme="minorEastAsia" w:hAnsiTheme="minorEastAsia" w:eastAsiaTheme="minorEastAsia" w:cstheme="minorEastAsia"/>
          <w:color w:val="auto"/>
          <w:sz w:val="28"/>
          <w:szCs w:val="28"/>
          <w:lang w:eastAsia="zh-CN"/>
        </w:rPr>
        <w:t>状况，填补了现有实验装置的空白，促进采油工业技术的研究</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调节装置包括固定安装在液压气缸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输出端顶部的第一垫板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和与滑块</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转动连接的顶块</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的顶部固定安装有螺纹箱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的内部转动连接有螺纹筒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的周侧面固定安装有第一锥齿轮</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右侧壁贯穿有转动轴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位于螺纹箱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外部的一端固定安装有转动把手</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转动轴</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的位于螺纹箱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内部的一端固定安装有第二锥齿轮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，且第二锥齿轮</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与第一锥齿轮</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相互啮合，螺纹筒</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的内部设置有螺纹杆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的顶部贯穿螺纹箱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的顶板并与安装在顶块</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底部的第二垫板</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固定连接，螺纹杆</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的底端贯穿螺纹箱</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的底板和第一垫板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并延伸至液压气缸</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输出端内部，第一垫板</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的底部固定安装有若干导向杆</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，且导向杆</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的底端贯穿第二垫板</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并延伸至第二垫板</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的下方，通过转动转动轴</w:t>
      </w:r>
      <w:r>
        <w:rPr>
          <w:rFonts w:hint="eastAsia" w:asciiTheme="minorEastAsia" w:hAnsiTheme="minorEastAsia" w:cstheme="minorEastAsia"/>
          <w:color w:val="auto"/>
          <w:sz w:val="28"/>
          <w:szCs w:val="28"/>
          <w:lang w:val="en-US" w:eastAsia="zh-CN"/>
        </w:rPr>
        <w:t>12可带动第二锥齿轮13转动，第二锥齿轮13带动第一锥齿轮11转动，同时螺纹筒10转动，螺纹筒10转动带动螺纹杆14上升，既可对底板1和放置板2之间的角度进行微调，保证实验数据的准确性。</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放置板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的顶部固定安装有厚层模型，厚层模型包括三块基材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的内部开设有油层槽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的两侧均开设有流体通道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，且流体通道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与油层槽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之间通过通孔</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连通，油层槽</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的内部设置有若干电极</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，且电极</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由电阻丝串联，基材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左侧的流体通道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开设有进水管</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有侧的流体通道</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开设有出油管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和清洗管</w:t>
      </w:r>
      <w:r>
        <w:rPr>
          <w:rFonts w:hint="eastAsia" w:asciiTheme="minorEastAsia" w:hAnsiTheme="minorEastAsia" w:cstheme="minorEastAsia"/>
          <w:color w:val="auto"/>
          <w:sz w:val="28"/>
          <w:szCs w:val="28"/>
          <w:lang w:val="en-US" w:eastAsia="zh-CN"/>
        </w:rPr>
        <w:t>24</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textAlignment w:val="auto"/>
        <w:rPr>
          <w:rFonts w:hint="default" w:asciiTheme="minorEastAsia" w:hAnsiTheme="minorEastAsia" w:eastAsiaTheme="minorEastAsia" w:cstheme="minorEastAsia"/>
          <w:color w:val="auto"/>
          <w:sz w:val="28"/>
          <w:szCs w:val="28"/>
          <w:lang w:val="en-US"/>
        </w:rPr>
      </w:pPr>
      <w:r>
        <w:rPr>
          <w:rFonts w:hint="eastAsia" w:ascii="宋体" w:hAnsi="宋体"/>
          <w:color w:val="auto"/>
          <w:sz w:val="28"/>
          <w:szCs w:val="28"/>
          <w:lang w:eastAsia="zh-CN"/>
        </w:rPr>
        <w:t>工作时，通过液压气缸大致调整</w:t>
      </w:r>
      <w:r>
        <w:rPr>
          <w:rFonts w:hint="eastAsia" w:asciiTheme="minorEastAsia" w:hAnsiTheme="minorEastAsia" w:cstheme="minorEastAsia"/>
          <w:color w:val="auto"/>
          <w:sz w:val="28"/>
          <w:szCs w:val="28"/>
          <w:lang w:eastAsia="zh-CN"/>
        </w:rPr>
        <w:t>基材</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的角度，再通过调节装置微调角度，</w:t>
      </w:r>
      <w:r>
        <w:rPr>
          <w:rFonts w:hint="eastAsia" w:ascii="宋体" w:hAnsi="宋体"/>
          <w:color w:val="auto"/>
          <w:sz w:val="28"/>
          <w:szCs w:val="28"/>
          <w:lang w:eastAsia="zh-CN"/>
        </w:rPr>
        <w:t>将进水管</w:t>
      </w:r>
      <w:r>
        <w:rPr>
          <w:rFonts w:hint="eastAsia" w:ascii="宋体" w:hAnsi="宋体"/>
          <w:color w:val="auto"/>
          <w:sz w:val="28"/>
          <w:szCs w:val="28"/>
          <w:lang w:val="en-US" w:eastAsia="zh-CN"/>
        </w:rPr>
        <w:t>22与恒速驱替泵相连接，打开进水管22进行驱替实验，油水通过</w:t>
      </w:r>
      <w:r>
        <w:rPr>
          <w:rFonts w:hint="eastAsia" w:asciiTheme="minorEastAsia" w:hAnsiTheme="minorEastAsia" w:cstheme="minorEastAsia"/>
          <w:color w:val="auto"/>
          <w:sz w:val="28"/>
          <w:szCs w:val="28"/>
          <w:lang w:eastAsia="zh-CN"/>
        </w:rPr>
        <w:t>出油管</w:t>
      </w:r>
      <w:r>
        <w:rPr>
          <w:rFonts w:hint="eastAsia" w:asciiTheme="minorEastAsia" w:hAnsiTheme="minorEastAsia" w:cstheme="minorEastAsia"/>
          <w:color w:val="auto"/>
          <w:sz w:val="28"/>
          <w:szCs w:val="28"/>
          <w:lang w:val="en-US" w:eastAsia="zh-CN"/>
        </w:rPr>
        <w:t>23排除，由于水与油的导电率不同，所以电极21通过电阻丝可将信号穿导致检测设备，如巡检仪和电桥等，通过计算机显示出模型内部油水分布，进而可直观的分析实验结果。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textAlignment w:val="auto"/>
        <w:rPr>
          <w:rFonts w:hint="eastAsia" w:asciiTheme="minorEastAsia" w:hAnsiTheme="minorEastAsia" w:eastAsiaTheme="minorEastAsia" w:cstheme="minorEastAsia"/>
          <w:color w:val="auto"/>
          <w:sz w:val="28"/>
          <w:szCs w:val="28"/>
        </w:rPr>
      </w:pPr>
      <w:r>
        <w:rPr>
          <w:rFonts w:hint="eastAsia" w:ascii="宋体" w:hAnsi="宋体"/>
          <w:color w:val="auto"/>
          <w:sz w:val="28"/>
          <w:szCs w:val="28"/>
          <w:lang w:val="en-US" w:eastAsia="zh-CN"/>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在没有更多限制的情况下。</w:t>
      </w:r>
    </w:p>
    <w:p>
      <w:pPr>
        <w:pStyle w:val="7"/>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sectPr>
          <w:headerReference r:id="rId13" w:type="default"/>
          <w:footerReference r:id="rId14" w:type="default"/>
          <w:pgSz w:w="11906" w:h="16838"/>
          <w:pgMar w:top="1418" w:right="1134" w:bottom="1134" w:left="1418" w:header="567" w:footer="567" w:gutter="0"/>
          <w:pgNumType w:start="1"/>
          <w:cols w:space="720" w:num="1"/>
          <w:docGrid w:type="lines" w:linePitch="381" w:charSpace="0"/>
        </w:sectPr>
      </w:pPr>
    </w:p>
    <w:p>
      <w:pPr>
        <w:pStyle w:val="8"/>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color w:val="auto"/>
          <w:sz w:val="28"/>
          <w:szCs w:val="28"/>
        </w:rPr>
      </w:pPr>
      <w:r>
        <w:rPr>
          <w:rFonts w:hint="eastAsia" w:ascii="宋体" w:hAnsi="宋体" w:eastAsia="宋体" w:cs="宋体"/>
        </w:rPr>
        <w:drawing>
          <wp:inline distT="0" distB="0" distL="114300" distR="114300">
            <wp:extent cx="4911725" cy="4072255"/>
            <wp:effectExtent l="0" t="0" r="3175"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4911725" cy="40722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rPr>
      </w:pPr>
      <w:r>
        <w:rPr>
          <w:rFonts w:hint="eastAsia" w:ascii="宋体" w:hAnsi="宋体" w:eastAsia="宋体" w:cs="宋体"/>
        </w:rPr>
        <w:drawing>
          <wp:inline distT="0" distB="0" distL="114300" distR="114300">
            <wp:extent cx="3776980" cy="3665220"/>
            <wp:effectExtent l="0" t="0" r="13970" b="1143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9"/>
                    <a:stretch>
                      <a:fillRect/>
                    </a:stretch>
                  </pic:blipFill>
                  <pic:spPr>
                    <a:xfrm>
                      <a:off x="0" y="0"/>
                      <a:ext cx="3776980" cy="36652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2</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lang w:val="en-US" w:eastAsia="zh-CN"/>
        </w:rPr>
      </w:pPr>
      <w:r>
        <w:rPr>
          <w:rFonts w:hint="eastAsia" w:ascii="宋体" w:hAnsi="宋体" w:eastAsia="宋体" w:cs="宋体"/>
        </w:rPr>
        <w:drawing>
          <wp:inline distT="0" distB="0" distL="114300" distR="114300">
            <wp:extent cx="4248150" cy="343852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0"/>
                    <a:stretch>
                      <a:fillRect/>
                    </a:stretch>
                  </pic:blipFill>
                  <pic:spPr>
                    <a:xfrm>
                      <a:off x="0" y="0"/>
                      <a:ext cx="4248150" cy="34385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color w:val="auto"/>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3</w:t>
      </w:r>
    </w:p>
    <w:sectPr>
      <w:headerReference r:id="rId15" w:type="default"/>
      <w:footerReference r:id="rId16"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360"/>
      <w:rPr>
        <w:rFonts w:hint="eastAsia"/>
      </w:rPr>
    </w:pPr>
    <w: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pPr>
      <w:pStyle w:val="2"/>
      <w:pBdr>
        <w:top w:val="single" w:color="auto" w:sz="4" w:space="1"/>
      </w:pBdr>
      <w:spacing w:line="200" w:lineRule="exact"/>
      <w:ind w:firstLine="360"/>
      <w:rPr>
        <w:rFonts w:hint="eastAsia"/>
      </w:rPr>
    </w:pPr>
    <w:r>
      <w:rPr>
        <w:rFonts w:hint="eastAsia"/>
      </w:rPr>
      <w:t>2002.8</w:t>
    </w:r>
  </w:p>
  <w:p>
    <w:pPr>
      <w:pStyle w:val="2"/>
      <w:pBdr>
        <w:top w:val="single" w:color="auto" w:sz="4" w:space="1"/>
      </w:pBdr>
      <w:spacing w:line="200" w:lineRule="exact"/>
      <w:ind w:firstLine="480"/>
      <w:jc w:val="center"/>
      <w:rPr>
        <w:rFonts w:hint="eastAsia"/>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tabs>
        <w:tab w:val="center" w:pos="4677"/>
        <w:tab w:val="left" w:pos="8370"/>
      </w:tabs>
      <w:wordWrap w:val="0"/>
      <w:ind w:firstLine="420"/>
      <w:jc w:val="right"/>
      <w:rPr>
        <w:rFonts w:hint="eastAsia"/>
        <w:b/>
        <w:bCs/>
        <w:sz w:val="32"/>
      </w:rPr>
    </w:pPr>
    <w:r>
      <w:rPr>
        <w:sz w:val="21"/>
      </w:rPr>
      <w:t>MP120</w:t>
    </w:r>
    <w:r>
      <w:rPr>
        <w:rFonts w:hint="eastAsia"/>
        <w:sz w:val="21"/>
      </w:rPr>
      <w:t>8682</w:t>
    </w:r>
  </w:p>
  <w:p>
    <w:pPr>
      <w:pBdr>
        <w:bottom w:val="single" w:color="auto" w:sz="4" w:space="1"/>
      </w:pBdr>
      <w:ind w:firstLine="643"/>
      <w:jc w:val="center"/>
      <w:outlineLvl w:val="0"/>
      <w:rPr>
        <w:rFonts w:hint="eastAsia"/>
        <w:szCs w:val="28"/>
      </w:rPr>
    </w:pPr>
    <w:r>
      <w:rPr>
        <w:rFonts w:hint="eastAsia"/>
        <w:b/>
        <w:bCs/>
        <w:sz w:val="32"/>
        <w:szCs w:val="28"/>
      </w:rPr>
      <w:t>权　 利　 要　 求　 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摘    要    附    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权   利   要   求   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C146A0"/>
    <w:rsid w:val="039B2A88"/>
    <w:rsid w:val="0893013F"/>
    <w:rsid w:val="0F615E2E"/>
    <w:rsid w:val="1A082D7C"/>
    <w:rsid w:val="255C1319"/>
    <w:rsid w:val="698659D4"/>
    <w:rsid w:val="79C55AE6"/>
    <w:rsid w:val="7BE346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customStyle="1" w:styleId="6">
    <w:name w:val="首段落"/>
    <w:basedOn w:val="1"/>
    <w:qFormat/>
    <w:uiPriority w:val="0"/>
    <w:pPr>
      <w:spacing w:before="120" w:beforeLines="50" w:line="500" w:lineRule="exact"/>
      <w:ind w:firstLine="561"/>
    </w:pPr>
    <w:rPr>
      <w:rFonts w:eastAsia="仿宋_GB2312"/>
      <w:color w:val="000000"/>
      <w:sz w:val="28"/>
    </w:rPr>
  </w:style>
  <w:style w:type="paragraph" w:customStyle="1" w:styleId="7">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8">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Administrator</cp:lastModifiedBy>
  <dcterms:modified xsi:type="dcterms:W3CDTF">2019-07-08T03:18:12Z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