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560"/>
        <w:jc w:val="left"/>
        <w:rPr>
          <w:rFonts w:cs="宋体" w:asciiTheme="minorEastAsia" w:hAnsiTheme="minorEastAsia" w:eastAsiaTheme="minorEastAsia"/>
          <w:kern w:val="0"/>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418" w:header="567" w:footer="567" w:gutter="0"/>
          <w:lnNumType w:countBy="0" w:restart="continuous"/>
          <w:pgNumType w:start="1"/>
          <w:cols w:space="720" w:num="1"/>
          <w:docGrid w:type="lines" w:linePitch="381" w:charSpace="0"/>
        </w:sectPr>
      </w:pPr>
      <w:r>
        <w:rPr>
          <w:rFonts w:hint="eastAsia" w:cs="宋体" w:asciiTheme="minorEastAsia" w:hAnsiTheme="minorEastAsia" w:eastAsiaTheme="minorEastAsia"/>
          <w:sz w:val="28"/>
          <w:szCs w:val="28"/>
        </w:rPr>
        <w:t>本实用新型公开了</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，包括</w:t>
      </w:r>
      <w:r>
        <w:rPr>
          <w:rFonts w:hint="eastAsia" w:cs="宋体" w:asciiTheme="minorEastAsia" w:hAnsiTheme="minorEastAsia" w:eastAsiaTheme="minorEastAsia"/>
          <w:sz w:val="28"/>
          <w:szCs w:val="28"/>
          <w:lang w:eastAsia="zh-CN"/>
        </w:rPr>
        <w:t>柴油颗粒物过滤模块</w:t>
      </w:r>
      <w:r>
        <w:rPr>
          <w:rFonts w:hint="eastAsia" w:cs="宋体" w:asciiTheme="minorEastAsia" w:hAnsiTheme="minorEastAsia" w:eastAsiaTheme="minorEastAsia"/>
          <w:sz w:val="28"/>
          <w:szCs w:val="28"/>
        </w:rPr>
        <w:t>，</w:t>
      </w:r>
      <w:r>
        <w:rPr>
          <w:rFonts w:hint="eastAsia" w:cs="宋体" w:asciiTheme="minorEastAsia" w:hAnsiTheme="minorEastAsia" w:eastAsiaTheme="minorEastAsia"/>
          <w:sz w:val="28"/>
          <w:szCs w:val="28"/>
          <w:lang w:eastAsia="zh-CN"/>
        </w:rPr>
        <w:t>挖根机主体的下方一侧设置有柴油机，且挖根机主体的下方另一侧设置有燃油箱，所述挖根机主体的一侧设置有前手柄，且挖根机主体的另一侧偏下位置设置有后把手，所述后把手的内部上方设置有油门扳机，</w:t>
      </w:r>
      <w:r>
        <w:rPr>
          <w:rFonts w:hint="eastAsia" w:cs="宋体" w:asciiTheme="minorEastAsia" w:hAnsiTheme="minorEastAsia" w:eastAsiaTheme="minorEastAsia"/>
          <w:sz w:val="28"/>
          <w:szCs w:val="28"/>
        </w:rPr>
        <w:t>本实用新型的有益效果是：</w:t>
      </w:r>
      <w:r>
        <w:rPr>
          <w:rFonts w:hint="eastAsia" w:cs="宋体" w:asciiTheme="minorEastAsia" w:hAnsiTheme="minorEastAsia" w:eastAsiaTheme="minorEastAsia"/>
          <w:sz w:val="28"/>
          <w:szCs w:val="28"/>
          <w:lang w:eastAsia="zh-CN"/>
        </w:rPr>
        <w:t>通过</w:t>
      </w:r>
      <w:r>
        <w:rPr>
          <w:rFonts w:hint="eastAsia" w:asciiTheme="minorEastAsia" w:hAnsiTheme="minorEastAsia" w:eastAsiaTheme="minorEastAsia"/>
          <w:sz w:val="28"/>
          <w:szCs w:val="28"/>
          <w:lang w:eastAsia="zh-CN"/>
        </w:rPr>
        <w:t>柴油颗粒物过滤模块</w:t>
      </w:r>
      <w:r>
        <w:rPr>
          <w:rFonts w:hint="eastAsia" w:cs="宋体" w:asciiTheme="minorEastAsia" w:hAnsiTheme="minorEastAsia" w:eastAsiaTheme="minorEastAsia"/>
          <w:sz w:val="28"/>
          <w:szCs w:val="28"/>
          <w:lang w:eastAsia="zh-CN"/>
        </w:rPr>
        <w:t>连接消音器，柴油机运行产生的废气会先经过</w:t>
      </w:r>
      <w:r>
        <w:rPr>
          <w:rFonts w:hint="eastAsia" w:asciiTheme="minorEastAsia" w:hAnsiTheme="minorEastAsia" w:eastAsiaTheme="minorEastAsia"/>
          <w:sz w:val="28"/>
          <w:szCs w:val="28"/>
          <w:lang w:eastAsia="zh-CN"/>
        </w:rPr>
        <w:t>柴油颗粒物过滤模块处理过滤再排到大气中，</w:t>
      </w:r>
      <w:r>
        <w:rPr>
          <w:rFonts w:hint="eastAsia" w:cs="宋体" w:asciiTheme="minorEastAsia" w:hAnsiTheme="minorEastAsia" w:eastAsiaTheme="minorEastAsia"/>
          <w:sz w:val="28"/>
          <w:szCs w:val="28"/>
          <w:lang w:eastAsia="zh-CN"/>
        </w:rPr>
        <w:t>废气经过氧化催化层将其中的有害物质进行氧化，生产二氧化碳和水，氧化后的废气在通过颗粒物过滤层过滤其中的微粒，将柴油机</w:t>
      </w:r>
      <w:r>
        <w:rPr>
          <w:rFonts w:hint="eastAsia" w:cs="宋体" w:asciiTheme="minorEastAsia" w:hAnsiTheme="minorEastAsia" w:eastAsiaTheme="minorEastAsia"/>
          <w:sz w:val="28"/>
          <w:szCs w:val="28"/>
          <w:lang w:val="en-US" w:eastAsia="zh-CN"/>
        </w:rPr>
        <w:t>产生的废气危害降到最低，保护了环境，同时也将柴油机对操作人员的伤害降低。</w:t>
      </w: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left"/>
      </w:pPr>
    </w:p>
    <w:p>
      <w:pPr>
        <w:widowControl/>
        <w:spacing w:line="240" w:lineRule="auto"/>
        <w:ind w:firstLine="0" w:firstLineChars="0"/>
        <w:jc w:val="center"/>
        <w:rPr>
          <w:rFonts w:cs="宋体" w:asciiTheme="minorEastAsia" w:hAnsiTheme="minorEastAsia" w:eastAsiaTheme="minorEastAsia"/>
          <w:kern w:val="0"/>
          <w:sz w:val="28"/>
          <w:szCs w:val="28"/>
        </w:rPr>
      </w:pPr>
      <w:r>
        <w:drawing>
          <wp:inline distT="0" distB="0" distL="114300" distR="114300">
            <wp:extent cx="5691505" cy="2630805"/>
            <wp:effectExtent l="0" t="0" r="4445" b="171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5691505" cy="2630805"/>
                    </a:xfrm>
                    <a:prstGeom prst="rect">
                      <a:avLst/>
                    </a:prstGeom>
                    <a:noFill/>
                    <a:ln w="9525">
                      <a:noFill/>
                    </a:ln>
                  </pic:spPr>
                </pic:pic>
              </a:graphicData>
            </a:graphic>
          </wp:inline>
        </w:drawing>
      </w:r>
    </w:p>
    <w:p>
      <w:pPr>
        <w:ind w:firstLine="0" w:firstLineChars="0"/>
        <w:jc w:val="center"/>
        <w:rPr>
          <w:rFonts w:cs="宋体" w:asciiTheme="minorEastAsia" w:hAnsiTheme="minorEastAsia" w:eastAsiaTheme="minorEastAsia"/>
          <w:sz w:val="28"/>
          <w:szCs w:val="28"/>
        </w:rPr>
        <w:sectPr>
          <w:headerReference r:id="rId9" w:type="default"/>
          <w:footerReference r:id="rId10" w:type="default"/>
          <w:pgSz w:w="11906" w:h="16838"/>
          <w:pgMar w:top="1418" w:right="1134" w:bottom="1134" w:left="1418" w:header="567" w:footer="567" w:gutter="0"/>
          <w:lnNumType w:countBy="0" w:restart="continuous"/>
          <w:pgNumType w:start="1"/>
          <w:cols w:space="720" w:num="1"/>
          <w:docGrid w:type="lines" w:linePitch="381" w:charSpace="0"/>
        </w:sectPr>
      </w:pPr>
    </w:p>
    <w:p>
      <w:pPr>
        <w:ind w:firstLine="560"/>
        <w:rPr>
          <w:rFonts w:hint="eastAsia" w:cs="宋体" w:asciiTheme="minorEastAsia" w:hAnsiTheme="minorEastAsia" w:eastAsiaTheme="minorEastAsia"/>
          <w:sz w:val="28"/>
          <w:szCs w:val="28"/>
          <w:lang w:eastAsia="zh-CN"/>
        </w:rPr>
      </w:pPr>
      <w:r>
        <w:rPr>
          <w:rFonts w:hint="eastAsia" w:cs="宋体" w:asciiTheme="minorEastAsia" w:hAnsiTheme="minorEastAsia" w:eastAsiaTheme="minorEastAsia"/>
          <w:sz w:val="28"/>
          <w:szCs w:val="28"/>
        </w:rPr>
        <w:t>1.</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，包括</w:t>
      </w:r>
      <w:r>
        <w:rPr>
          <w:rFonts w:hint="eastAsia" w:cs="宋体" w:asciiTheme="minorEastAsia" w:hAnsiTheme="minorEastAsia" w:eastAsiaTheme="minorEastAsia"/>
          <w:sz w:val="28"/>
          <w:szCs w:val="28"/>
          <w:lang w:eastAsia="zh-CN"/>
        </w:rPr>
        <w:t>挖根机主体（11）、柴油颗粒物过滤模块（4）</w:t>
      </w:r>
      <w:r>
        <w:rPr>
          <w:rFonts w:hint="eastAsia" w:cs="宋体" w:asciiTheme="minorEastAsia" w:hAnsiTheme="minorEastAsia" w:eastAsiaTheme="minorEastAsia"/>
          <w:sz w:val="28"/>
          <w:szCs w:val="28"/>
        </w:rPr>
        <w:t>，其特征在于：</w:t>
      </w:r>
      <w:r>
        <w:rPr>
          <w:rFonts w:hint="eastAsia" w:cs="宋体" w:asciiTheme="minorEastAsia" w:hAnsiTheme="minorEastAsia" w:eastAsiaTheme="minorEastAsia"/>
          <w:sz w:val="28"/>
          <w:szCs w:val="28"/>
          <w:lang w:eastAsia="zh-CN"/>
        </w:rPr>
        <w:t>所述挖根机主体（11）的下方一侧设置有柴油机（5），且挖根机主体（11）的下方另一侧设置有燃油箱（6），所述挖根机主体（11）的一侧设置有前手柄（9），且挖根机主体（11）的另一侧偏下位置设置有后把手（13），所述后把手（13）的内部上方设置有油门扳机（7），所述前手柄（9）的另一侧设置有导板（2），所述导板（2）的圆周表面上设置有切割链条（1），且导板（2）的下方设置有碎土挡板（3）；</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lang w:eastAsia="zh-CN"/>
        </w:rPr>
        <w:t>所述柴油机（5）远离燃油箱（6）的一侧设置有消音器（8），且柴油机（5）的下方设置有柴油颗粒物过滤模块（4），所述柴油机（5）的表面偏上位置设置有启动拉把（12），所述柴油颗粒物过滤模块（4）的一端设置有废气进口（14），且柴油颗粒物过滤模块（4）的另一端设置有排气口（17），所述柴油颗粒物过滤模块（4）的内部靠近废气进口（14）的一端设置有氧化催化层（15），所述氧化催化层（15）的一侧设置有颗粒物过滤层（16），所述挖根机主体（11）的上方一端设置有高压帽（10）</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2.根据权利要求1所述的</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，其特征在于：所述</w:t>
      </w:r>
      <w:r>
        <w:rPr>
          <w:rFonts w:hint="eastAsia" w:cs="宋体" w:asciiTheme="minorEastAsia" w:hAnsiTheme="minorEastAsia" w:eastAsiaTheme="minorEastAsia"/>
          <w:sz w:val="28"/>
          <w:szCs w:val="28"/>
          <w:lang w:eastAsia="zh-CN"/>
        </w:rPr>
        <w:t>切割链条（1）与导板（2）之间转动连接</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3.根据权利要求1所述的</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，其特征在于：所述</w:t>
      </w:r>
      <w:r>
        <w:rPr>
          <w:rFonts w:hint="eastAsia" w:cs="宋体" w:asciiTheme="minorEastAsia" w:hAnsiTheme="minorEastAsia" w:eastAsiaTheme="minorEastAsia"/>
          <w:sz w:val="28"/>
          <w:szCs w:val="28"/>
          <w:lang w:eastAsia="zh-CN"/>
        </w:rPr>
        <w:t>排气口（17）的朝向与柴油机（5）的轴向方向一致</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4.根据权利要求1所述的</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，其特征在于：所述</w:t>
      </w:r>
      <w:r>
        <w:rPr>
          <w:rFonts w:hint="eastAsia" w:cs="宋体" w:asciiTheme="minorEastAsia" w:hAnsiTheme="minorEastAsia" w:eastAsiaTheme="minorEastAsia"/>
          <w:sz w:val="28"/>
          <w:szCs w:val="28"/>
          <w:lang w:eastAsia="zh-CN"/>
        </w:rPr>
        <w:t>柴油颗粒物过滤模块（4）与消音器（8）之间通过废气进口（14）和导管连接</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5.根据权利要求1所述的</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，其特征在于：所述</w:t>
      </w:r>
      <w:r>
        <w:rPr>
          <w:rFonts w:hint="eastAsia" w:cs="宋体" w:asciiTheme="minorEastAsia" w:hAnsiTheme="minorEastAsia" w:eastAsiaTheme="minorEastAsia"/>
          <w:sz w:val="28"/>
          <w:szCs w:val="28"/>
          <w:lang w:eastAsia="zh-CN"/>
        </w:rPr>
        <w:t>后把手（13）上设置有把环套</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6.根据权利要求1所述的</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，其特征在于：所述</w:t>
      </w:r>
      <w:r>
        <w:rPr>
          <w:rFonts w:hint="eastAsia" w:cs="宋体" w:asciiTheme="minorEastAsia" w:hAnsiTheme="minorEastAsia" w:eastAsiaTheme="minorEastAsia"/>
          <w:sz w:val="28"/>
          <w:szCs w:val="28"/>
          <w:lang w:eastAsia="zh-CN"/>
        </w:rPr>
        <w:t>柴油颗粒物过滤模块（4）与柴油机（5）之间通过卡环固定连接</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kern w:val="0"/>
          <w:sz w:val="28"/>
          <w:szCs w:val="28"/>
        </w:rPr>
        <w:sectPr>
          <w:headerReference r:id="rId11" w:type="default"/>
          <w:footerReference r:id="rId12" w:type="default"/>
          <w:pgSz w:w="11906" w:h="16838"/>
          <w:pgMar w:top="1418" w:right="1134" w:bottom="1134" w:left="1418" w:header="567" w:footer="567" w:gutter="0"/>
          <w:lnNumType w:countBy="0" w:restart="continuous"/>
          <w:pgNumType w:start="1"/>
          <w:cols w:space="720" w:num="1"/>
          <w:docGrid w:type="lines" w:linePitch="381" w:charSpace="0"/>
        </w:sectPr>
      </w:pPr>
    </w:p>
    <w:p>
      <w:pPr>
        <w:ind w:firstLineChars="71"/>
        <w:jc w:val="center"/>
        <w:rPr>
          <w:rFonts w:hint="eastAsia" w:cs="Arial" w:asciiTheme="minorEastAsia" w:hAnsiTheme="minorEastAsia" w:eastAsiaTheme="minorEastAsia"/>
          <w:color w:val="000000"/>
          <w:sz w:val="28"/>
          <w:szCs w:val="28"/>
          <w:shd w:val="clear" w:color="auto" w:fill="FFFFFF"/>
          <w:lang w:eastAsia="zh-CN"/>
        </w:rPr>
      </w:pPr>
      <w:r>
        <w:rPr>
          <w:rFonts w:hint="eastAsia" w:asciiTheme="minorEastAsia" w:hAnsiTheme="minorEastAsia" w:eastAsiaTheme="minorEastAsia"/>
          <w:b/>
          <w:sz w:val="28"/>
          <w:szCs w:val="28"/>
          <w:lang w:eastAsia="zh-CN"/>
        </w:rPr>
        <w:t>一种风景园林用树木挖根机</w:t>
      </w:r>
    </w:p>
    <w:p>
      <w:pPr>
        <w:ind w:firstLine="0" w:firstLineChars="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技术领域</w:t>
      </w:r>
    </w:p>
    <w:p>
      <w:pPr>
        <w:ind w:firstLine="551" w:firstLineChars="197"/>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本实用新型属于</w:t>
      </w:r>
      <w:r>
        <w:rPr>
          <w:rFonts w:hint="eastAsia" w:cs="宋体" w:asciiTheme="minorEastAsia" w:hAnsiTheme="minorEastAsia" w:eastAsiaTheme="minorEastAsia"/>
          <w:sz w:val="28"/>
          <w:szCs w:val="28"/>
          <w:lang w:eastAsia="zh-CN"/>
        </w:rPr>
        <w:t>苗木移植</w:t>
      </w:r>
      <w:r>
        <w:rPr>
          <w:rFonts w:hint="eastAsia" w:cs="宋体" w:asciiTheme="minorEastAsia" w:hAnsiTheme="minorEastAsia" w:eastAsiaTheme="minorEastAsia"/>
          <w:sz w:val="28"/>
          <w:szCs w:val="28"/>
        </w:rPr>
        <w:t>技术领域，具体涉及</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w:t>
      </w:r>
    </w:p>
    <w:p>
      <w:pPr>
        <w:ind w:firstLine="0" w:firstLineChars="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背景技术</w:t>
      </w:r>
    </w:p>
    <w:p>
      <w:pPr>
        <w:ind w:firstLine="561" w:firstLineChars="0"/>
        <w:rPr>
          <w:rFonts w:hint="eastAsia" w:cs="宋体" w:asciiTheme="minorEastAsia" w:hAnsiTheme="minorEastAsia" w:eastAsiaTheme="minorEastAsia"/>
          <w:sz w:val="28"/>
          <w:szCs w:val="28"/>
          <w:lang w:eastAsia="zh-CN"/>
        </w:rPr>
      </w:pPr>
      <w:r>
        <w:rPr>
          <w:rFonts w:cs="宋体" w:asciiTheme="minorEastAsia" w:hAnsiTheme="minorEastAsia" w:eastAsiaTheme="minorEastAsia"/>
          <w:sz w:val="28"/>
          <w:szCs w:val="28"/>
        </w:rPr>
        <w:t>用播种或营养繁殖方法培育的小苗，苗木密度大，每个苗木所占营养空间小，要培育大苗必须进行移栽。根据园林绿化对各种规格苗木的要求和培育方式需要，可移栽一次或多次。移栽能够扩大苗木生长的营养空间，如光照空间，通风空间和枝干生长空间，根系生长、吸收水分和营养的空间</w:t>
      </w:r>
      <w:r>
        <w:rPr>
          <w:rFonts w:hint="eastAsia" w:cs="宋体" w:asciiTheme="minorEastAsia" w:hAnsiTheme="minorEastAsia" w:eastAsiaTheme="minorEastAsia"/>
          <w:sz w:val="28"/>
          <w:szCs w:val="28"/>
          <w:lang w:eastAsia="zh-CN"/>
        </w:rPr>
        <w:t>。</w:t>
      </w:r>
    </w:p>
    <w:p>
      <w:pPr>
        <w:ind w:firstLine="561" w:firstLineChars="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lang w:eastAsia="zh-CN"/>
        </w:rPr>
        <w:t>苗木起挖前三天根部要浇足水，待枝叶及土壤有充分的水分后起挖（有利于苗木的成活率），挖掘苗木时要尽量保护根系。一般土球直径为干径的8-10倍，土球要用草绳包扎，做到根部土球不松不散。使用挖根机起挖，切入泥土，锯断泥土中的树根及泥土中杂夹的石块，并可同时进行苗木整枝修剪，有效提高工作效率。柴油机产生的废气直接排到大气中，柴油机废气对于环境的危害较大，对于操作挖根机的工作人员危害最大。</w:t>
      </w:r>
    </w:p>
    <w:p>
      <w:pPr>
        <w:ind w:firstLine="561" w:firstLineChars="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现有技术的</w:t>
      </w:r>
      <w:r>
        <w:rPr>
          <w:rFonts w:hint="eastAsia" w:cs="宋体" w:asciiTheme="minorEastAsia" w:hAnsiTheme="minorEastAsia" w:eastAsiaTheme="minorEastAsia"/>
          <w:sz w:val="28"/>
          <w:szCs w:val="28"/>
          <w:lang w:eastAsia="zh-CN"/>
        </w:rPr>
        <w:t>树木挖根机</w:t>
      </w:r>
      <w:r>
        <w:rPr>
          <w:rFonts w:hint="eastAsia" w:cs="宋体" w:asciiTheme="minorEastAsia" w:hAnsiTheme="minorEastAsia" w:eastAsiaTheme="minorEastAsia"/>
          <w:sz w:val="28"/>
          <w:szCs w:val="28"/>
        </w:rPr>
        <w:t>存在以下问题：</w:t>
      </w:r>
      <w:r>
        <w:rPr>
          <w:rFonts w:hint="eastAsia" w:cs="宋体" w:asciiTheme="minorEastAsia" w:hAnsiTheme="minorEastAsia" w:eastAsiaTheme="minorEastAsia"/>
          <w:sz w:val="28"/>
          <w:szCs w:val="28"/>
          <w:lang w:eastAsia="zh-CN"/>
        </w:rPr>
        <w:t>柴油机产生的废气直接拍到大气中，未对废气处理</w:t>
      </w:r>
      <w:r>
        <w:rPr>
          <w:rFonts w:hint="eastAsia" w:cs="宋体" w:asciiTheme="minorEastAsia" w:hAnsiTheme="minorEastAsia" w:eastAsiaTheme="minorEastAsia"/>
          <w:sz w:val="28"/>
          <w:szCs w:val="28"/>
        </w:rPr>
        <w:t>。</w:t>
      </w:r>
    </w:p>
    <w:p>
      <w:pPr>
        <w:autoSpaceDE w:val="0"/>
        <w:autoSpaceDN w:val="0"/>
        <w:ind w:firstLine="0" w:firstLineChars="0"/>
        <w:rPr>
          <w:rFonts w:asciiTheme="minorEastAsia" w:hAnsiTheme="minorEastAsia" w:eastAsiaTheme="minorEastAsia"/>
          <w:sz w:val="28"/>
          <w:szCs w:val="28"/>
        </w:rPr>
      </w:pPr>
      <w:r>
        <w:rPr>
          <w:rFonts w:hint="eastAsia" w:cs="宋体" w:asciiTheme="minorEastAsia" w:hAnsiTheme="minorEastAsia" w:eastAsiaTheme="minorEastAsia"/>
          <w:b/>
          <w:sz w:val="28"/>
          <w:szCs w:val="28"/>
        </w:rPr>
        <w:t>实用新型内容</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为解决上述背景技术中提出的问题。本实用新型提供了</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，具有</w:t>
      </w:r>
      <w:r>
        <w:rPr>
          <w:rFonts w:hint="eastAsia" w:cs="宋体" w:asciiTheme="minorEastAsia" w:hAnsiTheme="minorEastAsia" w:eastAsiaTheme="minorEastAsia"/>
          <w:sz w:val="28"/>
          <w:szCs w:val="28"/>
          <w:lang w:eastAsia="zh-CN"/>
        </w:rPr>
        <w:t>净化废气</w:t>
      </w:r>
      <w:r>
        <w:rPr>
          <w:rFonts w:hint="eastAsia" w:cs="宋体" w:asciiTheme="minorEastAsia" w:hAnsiTheme="minorEastAsia" w:eastAsiaTheme="minorEastAsia"/>
          <w:sz w:val="28"/>
          <w:szCs w:val="28"/>
        </w:rPr>
        <w:t>特点。</w:t>
      </w:r>
    </w:p>
    <w:p>
      <w:pPr>
        <w:ind w:firstLine="560"/>
        <w:rPr>
          <w:rFonts w:hint="eastAsia" w:cs="宋体" w:asciiTheme="minorEastAsia" w:hAnsiTheme="minorEastAsia" w:eastAsiaTheme="minorEastAsia"/>
          <w:sz w:val="28"/>
          <w:szCs w:val="28"/>
        </w:rPr>
      </w:pPr>
      <w:r>
        <w:rPr>
          <w:rFonts w:hint="eastAsia" w:cs="宋体" w:asciiTheme="minorEastAsia" w:hAnsiTheme="minorEastAsia" w:eastAsiaTheme="minorEastAsia"/>
          <w:sz w:val="28"/>
          <w:szCs w:val="28"/>
        </w:rPr>
        <w:t>为实现上述目的，本实用新型提供如下技术方案：</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，包括</w:t>
      </w:r>
      <w:r>
        <w:rPr>
          <w:rFonts w:hint="eastAsia" w:cs="宋体" w:asciiTheme="minorEastAsia" w:hAnsiTheme="minorEastAsia" w:eastAsiaTheme="minorEastAsia"/>
          <w:sz w:val="28"/>
          <w:szCs w:val="28"/>
          <w:lang w:eastAsia="zh-CN"/>
        </w:rPr>
        <w:t>挖根机主体、柴油颗粒物过滤模块</w:t>
      </w:r>
      <w:r>
        <w:rPr>
          <w:rFonts w:hint="eastAsia" w:cs="宋体" w:asciiTheme="minorEastAsia" w:hAnsiTheme="minorEastAsia" w:eastAsiaTheme="minorEastAsia"/>
          <w:sz w:val="28"/>
          <w:szCs w:val="28"/>
        </w:rPr>
        <w:t>，</w:t>
      </w:r>
      <w:r>
        <w:rPr>
          <w:rFonts w:hint="eastAsia" w:cs="宋体" w:asciiTheme="minorEastAsia" w:hAnsiTheme="minorEastAsia" w:eastAsiaTheme="minorEastAsia"/>
          <w:sz w:val="28"/>
          <w:szCs w:val="28"/>
          <w:lang w:eastAsia="zh-CN"/>
        </w:rPr>
        <w:t>挖根机主体的下方一侧设置有柴油机，且挖根机主体的下方另一侧设置有燃油箱，挖根机主体的一侧设置有前手柄，且挖根机主体的另一侧偏下位置设置有后把手，后把手的内部上方设置有油门扳机，前手柄的另一侧设置有导板，导板的圆周表面上设置有切割链条，且导板的下方设置有碎土挡板，柴油机远离燃油箱的一侧设置有消音器，且柴油机的下方设置有柴油颗粒物过滤模块，柴油机的表面偏上位置设置有启动拉把，柴油颗粒物过滤模块的一端设置有废气进口，且柴油颗粒物过滤模块的另一端设置有排气口，柴油颗粒物过滤模块的内部靠近废气进口的一端设置有氧化催化层，氧化催化层的一侧设置有颗粒物过滤层，挖根机主体的上方一端设置有高压帽</w:t>
      </w:r>
      <w:r>
        <w:rPr>
          <w:rFonts w:hint="eastAsia" w:cs="宋体" w:asciiTheme="minorEastAsia" w:hAnsiTheme="minorEastAsia" w:eastAsiaTheme="minorEastAsia"/>
          <w:sz w:val="28"/>
          <w:szCs w:val="28"/>
        </w:rPr>
        <w:t>。</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优选的，</w:t>
      </w:r>
      <w:r>
        <w:rPr>
          <w:rFonts w:hint="eastAsia" w:cs="宋体" w:asciiTheme="minorEastAsia" w:hAnsiTheme="minorEastAsia" w:eastAsiaTheme="minorEastAsia"/>
          <w:sz w:val="28"/>
          <w:szCs w:val="28"/>
          <w:lang w:eastAsia="zh-CN"/>
        </w:rPr>
        <w:t>切割链条与导板之间转动连接</w:t>
      </w:r>
      <w:r>
        <w:rPr>
          <w:rFonts w:hint="eastAsia" w:cs="宋体" w:asciiTheme="minorEastAsia" w:hAnsiTheme="minorEastAsia" w:eastAsiaTheme="minorEastAsia"/>
          <w:sz w:val="28"/>
          <w:szCs w:val="28"/>
        </w:rPr>
        <w:t>。</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优选的，</w:t>
      </w:r>
      <w:r>
        <w:rPr>
          <w:rFonts w:hint="eastAsia" w:cs="宋体" w:asciiTheme="minorEastAsia" w:hAnsiTheme="minorEastAsia" w:eastAsiaTheme="minorEastAsia"/>
          <w:sz w:val="28"/>
          <w:szCs w:val="28"/>
          <w:lang w:eastAsia="zh-CN"/>
        </w:rPr>
        <w:t>排气口的朝向与柴油机的轴向方向一致</w:t>
      </w:r>
      <w:r>
        <w:rPr>
          <w:rFonts w:hint="eastAsia" w:cs="宋体" w:asciiTheme="minorEastAsia" w:hAnsiTheme="minorEastAsia" w:eastAsiaTheme="minorEastAsia"/>
          <w:sz w:val="28"/>
          <w:szCs w:val="28"/>
        </w:rPr>
        <w:t>。</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优选的，</w:t>
      </w:r>
      <w:r>
        <w:rPr>
          <w:rFonts w:hint="eastAsia" w:cs="宋体" w:asciiTheme="minorEastAsia" w:hAnsiTheme="minorEastAsia" w:eastAsiaTheme="minorEastAsia"/>
          <w:sz w:val="28"/>
          <w:szCs w:val="28"/>
          <w:lang w:eastAsia="zh-CN"/>
        </w:rPr>
        <w:t>柴油颗粒物过滤模块与消音器之间通过废气进口和导管连接</w:t>
      </w:r>
      <w:r>
        <w:rPr>
          <w:rFonts w:hint="eastAsia" w:cs="宋体" w:asciiTheme="minorEastAsia" w:hAnsiTheme="minorEastAsia" w:eastAsiaTheme="minorEastAsia"/>
          <w:sz w:val="28"/>
          <w:szCs w:val="28"/>
        </w:rPr>
        <w:t>。</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优选的，</w:t>
      </w:r>
      <w:r>
        <w:rPr>
          <w:rFonts w:hint="eastAsia" w:cs="宋体" w:asciiTheme="minorEastAsia" w:hAnsiTheme="minorEastAsia" w:eastAsiaTheme="minorEastAsia"/>
          <w:sz w:val="28"/>
          <w:szCs w:val="28"/>
          <w:lang w:eastAsia="zh-CN"/>
        </w:rPr>
        <w:t>后把手上设置有把环套</w:t>
      </w:r>
      <w:r>
        <w:rPr>
          <w:rFonts w:hint="eastAsia" w:cs="宋体" w:asciiTheme="minorEastAsia" w:hAnsiTheme="minorEastAsia" w:eastAsiaTheme="minorEastAsia"/>
          <w:sz w:val="28"/>
          <w:szCs w:val="28"/>
        </w:rPr>
        <w:t>。</w:t>
      </w:r>
    </w:p>
    <w:p>
      <w:pPr>
        <w:autoSpaceDE w:val="0"/>
        <w:autoSpaceDN w:val="0"/>
        <w:adjustRightInd w:val="0"/>
        <w:ind w:firstLine="560"/>
        <w:jc w:val="left"/>
        <w:rPr>
          <w:rFonts w:hint="eastAsia" w:cs="宋体" w:asciiTheme="minorEastAsia" w:hAnsiTheme="minorEastAsia" w:eastAsiaTheme="minorEastAsia"/>
          <w:sz w:val="28"/>
          <w:szCs w:val="28"/>
        </w:rPr>
      </w:pPr>
      <w:r>
        <w:rPr>
          <w:rFonts w:hint="eastAsia" w:cs="宋体" w:asciiTheme="minorEastAsia" w:hAnsiTheme="minorEastAsia" w:eastAsiaTheme="minorEastAsia"/>
          <w:sz w:val="28"/>
          <w:szCs w:val="28"/>
        </w:rPr>
        <w:t>优选的，</w:t>
      </w:r>
      <w:r>
        <w:rPr>
          <w:rFonts w:hint="eastAsia" w:cs="宋体" w:asciiTheme="minorEastAsia" w:hAnsiTheme="minorEastAsia" w:eastAsiaTheme="minorEastAsia"/>
          <w:sz w:val="28"/>
          <w:szCs w:val="28"/>
          <w:lang w:eastAsia="zh-CN"/>
        </w:rPr>
        <w:t>柴油颗粒物过滤模块与柴油机之间通过卡环固定连接</w:t>
      </w:r>
      <w:r>
        <w:rPr>
          <w:rFonts w:hint="eastAsia" w:cs="宋体" w:asciiTheme="minorEastAsia" w:hAnsiTheme="minorEastAsia" w:eastAsiaTheme="minorEastAsia"/>
          <w:sz w:val="28"/>
          <w:szCs w:val="28"/>
        </w:rPr>
        <w:t>。</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与现有技术相比，本实用新型的有益效果是：</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1、本实用新型</w:t>
      </w:r>
      <w:r>
        <w:rPr>
          <w:rFonts w:hint="eastAsia" w:cs="宋体" w:asciiTheme="minorEastAsia" w:hAnsiTheme="minorEastAsia" w:eastAsiaTheme="minorEastAsia"/>
          <w:sz w:val="28"/>
          <w:szCs w:val="28"/>
          <w:lang w:eastAsia="zh-CN"/>
        </w:rPr>
        <w:t>通过</w:t>
      </w:r>
      <w:r>
        <w:rPr>
          <w:rFonts w:hint="eastAsia" w:asciiTheme="minorEastAsia" w:hAnsiTheme="minorEastAsia" w:eastAsiaTheme="minorEastAsia"/>
          <w:sz w:val="28"/>
          <w:szCs w:val="28"/>
          <w:lang w:eastAsia="zh-CN"/>
        </w:rPr>
        <w:t>柴油颗粒物过滤模块</w:t>
      </w:r>
      <w:r>
        <w:rPr>
          <w:rFonts w:hint="eastAsia" w:cs="宋体" w:asciiTheme="minorEastAsia" w:hAnsiTheme="minorEastAsia" w:eastAsiaTheme="minorEastAsia"/>
          <w:sz w:val="28"/>
          <w:szCs w:val="28"/>
          <w:lang w:eastAsia="zh-CN"/>
        </w:rPr>
        <w:t>连接消音器，柴油机运行产生的废气会先经过</w:t>
      </w:r>
      <w:r>
        <w:rPr>
          <w:rFonts w:hint="eastAsia" w:asciiTheme="minorEastAsia" w:hAnsiTheme="minorEastAsia" w:eastAsiaTheme="minorEastAsia"/>
          <w:sz w:val="28"/>
          <w:szCs w:val="28"/>
          <w:lang w:eastAsia="zh-CN"/>
        </w:rPr>
        <w:t>柴油颗粒物过滤模块处理过滤再排到大气中，</w:t>
      </w:r>
      <w:r>
        <w:rPr>
          <w:rFonts w:hint="eastAsia" w:cs="宋体" w:asciiTheme="minorEastAsia" w:hAnsiTheme="minorEastAsia" w:eastAsiaTheme="minorEastAsia"/>
          <w:sz w:val="28"/>
          <w:szCs w:val="28"/>
          <w:lang w:eastAsia="zh-CN"/>
        </w:rPr>
        <w:t>废气经过氧化催化层将其中的有害物质进行氧化，生产二氧化碳和水，氧化后的废气在通过颗粒物过滤层过滤其中的微粒，将柴油机</w:t>
      </w:r>
      <w:r>
        <w:rPr>
          <w:rFonts w:hint="eastAsia" w:cs="宋体" w:asciiTheme="minorEastAsia" w:hAnsiTheme="minorEastAsia" w:eastAsiaTheme="minorEastAsia"/>
          <w:sz w:val="28"/>
          <w:szCs w:val="28"/>
          <w:lang w:val="en-US" w:eastAsia="zh-CN"/>
        </w:rPr>
        <w:t>产生的废气危害降到最低，保护了环境，同时也将柴油机对操作人员的伤害降低；</w:t>
      </w:r>
    </w:p>
    <w:p>
      <w:pPr>
        <w:autoSpaceDE w:val="0"/>
        <w:autoSpaceDN w:val="0"/>
        <w:adjustRightInd w:val="0"/>
        <w:ind w:firstLine="560"/>
        <w:jc w:val="left"/>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2、本实用新型</w:t>
      </w:r>
      <w:r>
        <w:rPr>
          <w:rFonts w:hint="eastAsia" w:asciiTheme="minorEastAsia" w:hAnsiTheme="minorEastAsia" w:eastAsiaTheme="minorEastAsia"/>
          <w:sz w:val="28"/>
          <w:szCs w:val="28"/>
          <w:lang w:eastAsia="zh-CN"/>
        </w:rPr>
        <w:t>柴油颗粒物过滤模块的</w:t>
      </w:r>
      <w:r>
        <w:rPr>
          <w:rFonts w:hint="eastAsia" w:cs="宋体" w:asciiTheme="minorEastAsia" w:hAnsiTheme="minorEastAsia" w:eastAsiaTheme="minorEastAsia"/>
          <w:sz w:val="28"/>
          <w:szCs w:val="28"/>
          <w:lang w:eastAsia="zh-CN"/>
        </w:rPr>
        <w:t>排气口朝向与柴油机的轴向方向一致，操作人员在使用挖根机作业时，废气的排放朝向与操作人员的朝向垂直，将废气排放到离操作人员最远距离，从而将废气对操作人员的危害降到最低。</w:t>
      </w:r>
    </w:p>
    <w:p>
      <w:pPr>
        <w:ind w:firstLine="0" w:firstLineChars="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附图说明</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图1为本实用新型的结构示意图；</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图2为本实用新型的</w:t>
      </w:r>
      <w:r>
        <w:rPr>
          <w:rFonts w:hint="eastAsia" w:asciiTheme="minorEastAsia" w:hAnsiTheme="minorEastAsia" w:eastAsiaTheme="minorEastAsia"/>
          <w:sz w:val="28"/>
          <w:szCs w:val="28"/>
          <w:lang w:eastAsia="zh-CN"/>
        </w:rPr>
        <w:t>柴油颗粒物过滤模块</w:t>
      </w:r>
      <w:r>
        <w:rPr>
          <w:rFonts w:hint="eastAsia" w:asciiTheme="minorEastAsia" w:hAnsiTheme="minorEastAsia" w:eastAsiaTheme="minorEastAsia"/>
          <w:sz w:val="28"/>
          <w:szCs w:val="28"/>
        </w:rPr>
        <w:t>结构示意图；</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图中：1、</w:t>
      </w:r>
      <w:r>
        <w:rPr>
          <w:rFonts w:hint="eastAsia" w:asciiTheme="minorEastAsia" w:hAnsiTheme="minorEastAsia" w:eastAsiaTheme="minorEastAsia"/>
          <w:sz w:val="28"/>
          <w:szCs w:val="28"/>
          <w:lang w:eastAsia="zh-CN"/>
        </w:rPr>
        <w:t>切割链条</w:t>
      </w: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导板</w:t>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碎土挡板</w:t>
      </w: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柴油颗粒物过滤模块</w:t>
      </w:r>
      <w:r>
        <w:rPr>
          <w:rFonts w:hint="eastAsia" w:asciiTheme="minorEastAsia" w:hAnsiTheme="minorEastAsia" w:eastAsiaTheme="minorEastAsia"/>
          <w:sz w:val="28"/>
          <w:szCs w:val="28"/>
        </w:rPr>
        <w:t>；5、</w:t>
      </w:r>
      <w:r>
        <w:rPr>
          <w:rFonts w:hint="eastAsia" w:asciiTheme="minorEastAsia" w:hAnsiTheme="minorEastAsia" w:eastAsiaTheme="minorEastAsia"/>
          <w:sz w:val="28"/>
          <w:szCs w:val="28"/>
          <w:lang w:eastAsia="zh-CN"/>
        </w:rPr>
        <w:t>柴油机</w:t>
      </w:r>
      <w:r>
        <w:rPr>
          <w:rFonts w:hint="eastAsia" w:asciiTheme="minorEastAsia" w:hAnsiTheme="minorEastAsia" w:eastAsiaTheme="minorEastAsia"/>
          <w:sz w:val="28"/>
          <w:szCs w:val="28"/>
        </w:rPr>
        <w:t>；6、</w:t>
      </w:r>
      <w:r>
        <w:rPr>
          <w:rFonts w:hint="eastAsia" w:asciiTheme="minorEastAsia" w:hAnsiTheme="minorEastAsia" w:eastAsiaTheme="minorEastAsia"/>
          <w:sz w:val="28"/>
          <w:szCs w:val="28"/>
          <w:lang w:eastAsia="zh-CN"/>
        </w:rPr>
        <w:t>燃油箱</w:t>
      </w:r>
      <w:r>
        <w:rPr>
          <w:rFonts w:hint="eastAsia" w:asciiTheme="minorEastAsia" w:hAnsiTheme="minorEastAsia" w:eastAsiaTheme="minorEastAsia"/>
          <w:sz w:val="28"/>
          <w:szCs w:val="28"/>
        </w:rPr>
        <w:t>；7、</w:t>
      </w:r>
      <w:r>
        <w:rPr>
          <w:rFonts w:hint="eastAsia" w:asciiTheme="minorEastAsia" w:hAnsiTheme="minorEastAsia" w:eastAsiaTheme="minorEastAsia"/>
          <w:sz w:val="28"/>
          <w:szCs w:val="28"/>
          <w:lang w:eastAsia="zh-CN"/>
        </w:rPr>
        <w:t>油门扳机</w:t>
      </w:r>
      <w:r>
        <w:rPr>
          <w:rFonts w:hint="eastAsia" w:asciiTheme="minorEastAsia" w:hAnsiTheme="minorEastAsia" w:eastAsiaTheme="minorEastAsia"/>
          <w:sz w:val="28"/>
          <w:szCs w:val="28"/>
        </w:rPr>
        <w:t>；8、</w:t>
      </w:r>
      <w:r>
        <w:rPr>
          <w:rFonts w:hint="eastAsia" w:asciiTheme="minorEastAsia" w:hAnsiTheme="minorEastAsia" w:eastAsiaTheme="minorEastAsia"/>
          <w:sz w:val="28"/>
          <w:szCs w:val="28"/>
          <w:lang w:eastAsia="zh-CN"/>
        </w:rPr>
        <w:t>消音器</w:t>
      </w:r>
      <w:r>
        <w:rPr>
          <w:rFonts w:hint="eastAsia" w:asciiTheme="minorEastAsia" w:hAnsiTheme="minorEastAsia" w:eastAsiaTheme="minorEastAsia"/>
          <w:sz w:val="28"/>
          <w:szCs w:val="28"/>
        </w:rPr>
        <w:t>；9、</w:t>
      </w:r>
      <w:r>
        <w:rPr>
          <w:rFonts w:hint="eastAsia" w:asciiTheme="minorEastAsia" w:hAnsiTheme="minorEastAsia" w:eastAsiaTheme="minorEastAsia"/>
          <w:sz w:val="28"/>
          <w:szCs w:val="28"/>
          <w:lang w:eastAsia="zh-CN"/>
        </w:rPr>
        <w:t>前手柄</w:t>
      </w:r>
      <w:r>
        <w:rPr>
          <w:rFonts w:hint="eastAsia" w:asciiTheme="minorEastAsia" w:hAnsiTheme="minorEastAsia" w:eastAsiaTheme="minorEastAsia"/>
          <w:sz w:val="28"/>
          <w:szCs w:val="28"/>
        </w:rPr>
        <w:t>；10、</w:t>
      </w:r>
      <w:r>
        <w:rPr>
          <w:rFonts w:hint="eastAsia" w:asciiTheme="minorEastAsia" w:hAnsiTheme="minorEastAsia" w:eastAsiaTheme="minorEastAsia"/>
          <w:sz w:val="28"/>
          <w:szCs w:val="28"/>
          <w:lang w:eastAsia="zh-CN"/>
        </w:rPr>
        <w:t>高压帽</w:t>
      </w:r>
      <w:r>
        <w:rPr>
          <w:rFonts w:hint="eastAsia" w:asciiTheme="minorEastAsia" w:hAnsiTheme="minorEastAsia" w:eastAsiaTheme="minorEastAsia"/>
          <w:sz w:val="28"/>
          <w:szCs w:val="28"/>
        </w:rPr>
        <w:t>；11、</w:t>
      </w:r>
      <w:r>
        <w:rPr>
          <w:rFonts w:hint="eastAsia" w:asciiTheme="minorEastAsia" w:hAnsiTheme="minorEastAsia" w:eastAsiaTheme="minorEastAsia"/>
          <w:sz w:val="28"/>
          <w:szCs w:val="28"/>
          <w:lang w:eastAsia="zh-CN"/>
        </w:rPr>
        <w:t>挖根机主体</w:t>
      </w:r>
      <w:r>
        <w:rPr>
          <w:rFonts w:hint="eastAsia" w:asciiTheme="minorEastAsia" w:hAnsiTheme="minorEastAsia" w:eastAsiaTheme="minorEastAsia"/>
          <w:sz w:val="28"/>
          <w:szCs w:val="28"/>
        </w:rPr>
        <w:t>；12、</w:t>
      </w:r>
      <w:r>
        <w:rPr>
          <w:rFonts w:hint="eastAsia" w:asciiTheme="minorEastAsia" w:hAnsiTheme="minorEastAsia" w:eastAsiaTheme="minorEastAsia"/>
          <w:sz w:val="28"/>
          <w:szCs w:val="28"/>
          <w:lang w:eastAsia="zh-CN"/>
        </w:rPr>
        <w:t>启动拉把</w:t>
      </w:r>
      <w:r>
        <w:rPr>
          <w:rFonts w:hint="eastAsia" w:asciiTheme="minorEastAsia" w:hAnsiTheme="minorEastAsia" w:eastAsiaTheme="minorEastAsia"/>
          <w:sz w:val="28"/>
          <w:szCs w:val="28"/>
        </w:rPr>
        <w:t>；13、</w:t>
      </w:r>
      <w:r>
        <w:rPr>
          <w:rFonts w:hint="eastAsia" w:asciiTheme="minorEastAsia" w:hAnsiTheme="minorEastAsia" w:eastAsiaTheme="minorEastAsia"/>
          <w:sz w:val="28"/>
          <w:szCs w:val="28"/>
          <w:lang w:eastAsia="zh-CN"/>
        </w:rPr>
        <w:t>后把手</w:t>
      </w:r>
      <w:r>
        <w:rPr>
          <w:rFonts w:hint="eastAsia" w:asciiTheme="minorEastAsia" w:hAnsiTheme="minorEastAsia" w:eastAsiaTheme="minorEastAsia"/>
          <w:sz w:val="28"/>
          <w:szCs w:val="28"/>
        </w:rPr>
        <w:t>；14、</w:t>
      </w:r>
      <w:r>
        <w:rPr>
          <w:rFonts w:hint="eastAsia" w:asciiTheme="minorEastAsia" w:hAnsiTheme="minorEastAsia" w:eastAsiaTheme="minorEastAsia"/>
          <w:sz w:val="28"/>
          <w:szCs w:val="28"/>
          <w:lang w:eastAsia="zh-CN"/>
        </w:rPr>
        <w:t>废气进口</w:t>
      </w:r>
      <w:r>
        <w:rPr>
          <w:rFonts w:hint="eastAsia" w:asciiTheme="minorEastAsia" w:hAnsiTheme="minorEastAsia" w:eastAsiaTheme="minorEastAsia"/>
          <w:sz w:val="28"/>
          <w:szCs w:val="28"/>
        </w:rPr>
        <w:t>；15、</w:t>
      </w:r>
      <w:r>
        <w:rPr>
          <w:rFonts w:hint="eastAsia" w:asciiTheme="minorEastAsia" w:hAnsiTheme="minorEastAsia" w:eastAsiaTheme="minorEastAsia"/>
          <w:sz w:val="28"/>
          <w:szCs w:val="28"/>
          <w:lang w:eastAsia="zh-CN"/>
        </w:rPr>
        <w:t>氧化催化层；</w:t>
      </w:r>
      <w:r>
        <w:rPr>
          <w:rFonts w:hint="eastAsia" w:asciiTheme="minorEastAsia" w:hAnsiTheme="minorEastAsia" w:eastAsiaTheme="minorEastAsia"/>
          <w:sz w:val="28"/>
          <w:szCs w:val="28"/>
          <w:lang w:val="en-US" w:eastAsia="zh-CN"/>
        </w:rPr>
        <w:t>16、颗粒物过滤层；17、排气口</w:t>
      </w:r>
      <w:r>
        <w:rPr>
          <w:rFonts w:hint="eastAsia" w:asciiTheme="minorEastAsia" w:hAnsiTheme="minorEastAsia" w:eastAsiaTheme="minorEastAsia"/>
          <w:sz w:val="28"/>
          <w:szCs w:val="28"/>
        </w:rPr>
        <w:t>。</w:t>
      </w:r>
    </w:p>
    <w:p>
      <w:pPr>
        <w:ind w:firstLine="0" w:firstLineChars="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具体实施方式</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造性劳动前提下所获得的所有其他实施例，都属于本实用新型保护的范围。</w:t>
      </w:r>
    </w:p>
    <w:p>
      <w:pPr>
        <w:ind w:firstLine="560"/>
        <w:rPr>
          <w:rFonts w:hint="eastAsia" w:cs="宋体" w:asciiTheme="minorEastAsia" w:hAnsiTheme="minorEastAsia" w:eastAsiaTheme="minorEastAsia"/>
          <w:sz w:val="28"/>
          <w:szCs w:val="28"/>
          <w:lang w:eastAsia="zh-CN"/>
        </w:rPr>
      </w:pPr>
      <w:r>
        <w:rPr>
          <w:rFonts w:hint="eastAsia" w:cs="宋体" w:asciiTheme="minorEastAsia" w:hAnsiTheme="minorEastAsia" w:eastAsiaTheme="minorEastAsia"/>
          <w:sz w:val="28"/>
          <w:szCs w:val="28"/>
        </w:rPr>
        <w:t>请参阅图1-2，本实用新型提供以下技术方案：</w:t>
      </w:r>
      <w:r>
        <w:rPr>
          <w:rFonts w:hint="eastAsia" w:cs="宋体" w:asciiTheme="minorEastAsia" w:hAnsiTheme="minorEastAsia" w:eastAsiaTheme="minorEastAsia"/>
          <w:sz w:val="28"/>
          <w:szCs w:val="28"/>
          <w:lang w:eastAsia="zh-CN"/>
        </w:rPr>
        <w:t>一种风景园林用树木挖根机</w:t>
      </w:r>
      <w:r>
        <w:rPr>
          <w:rFonts w:hint="eastAsia" w:cs="宋体" w:asciiTheme="minorEastAsia" w:hAnsiTheme="minorEastAsia" w:eastAsiaTheme="minorEastAsia"/>
          <w:sz w:val="28"/>
          <w:szCs w:val="28"/>
        </w:rPr>
        <w:t>，包括</w:t>
      </w:r>
      <w:r>
        <w:rPr>
          <w:rFonts w:hint="eastAsia" w:cs="宋体" w:asciiTheme="minorEastAsia" w:hAnsiTheme="minorEastAsia" w:eastAsiaTheme="minorEastAsia"/>
          <w:sz w:val="28"/>
          <w:szCs w:val="28"/>
          <w:lang w:eastAsia="zh-CN"/>
        </w:rPr>
        <w:t>挖根机主体11、柴油颗粒物过滤模块4</w:t>
      </w:r>
      <w:r>
        <w:rPr>
          <w:rFonts w:hint="eastAsia" w:cs="宋体" w:asciiTheme="minorEastAsia" w:hAnsiTheme="minorEastAsia" w:eastAsiaTheme="minorEastAsia"/>
          <w:sz w:val="28"/>
          <w:szCs w:val="28"/>
        </w:rPr>
        <w:t>，</w:t>
      </w:r>
      <w:r>
        <w:rPr>
          <w:rFonts w:hint="eastAsia" w:cs="宋体" w:asciiTheme="minorEastAsia" w:hAnsiTheme="minorEastAsia" w:eastAsiaTheme="minorEastAsia"/>
          <w:sz w:val="28"/>
          <w:szCs w:val="28"/>
          <w:lang w:eastAsia="zh-CN"/>
        </w:rPr>
        <w:t>挖根机主体11的下方一侧设置有柴油机5，且挖根机主体11的下方另一侧设置有燃油箱6，挖根机主体11的一侧设置有前手柄9，且挖根机主体11的另一侧偏下位置设置有后把手13，后把手13上设置有把环套，使操作人员方便拿握，后把手13的内部上方设置有油门扳机7，前手柄9的另一侧设置有导板2，导板2的圆周表面上设置有切割链条1，切割链条1与导板2之间转动连接，使切割链条1能够切割土壤。</w:t>
      </w:r>
    </w:p>
    <w:p>
      <w:pPr>
        <w:ind w:firstLine="560"/>
        <w:rPr>
          <w:rFonts w:hint="eastAsia" w:cs="宋体" w:asciiTheme="minorEastAsia" w:hAnsiTheme="minorEastAsia" w:eastAsiaTheme="minorEastAsia"/>
          <w:sz w:val="28"/>
          <w:szCs w:val="28"/>
          <w:lang w:eastAsia="zh-CN"/>
        </w:rPr>
      </w:pPr>
      <w:r>
        <w:rPr>
          <w:rFonts w:hint="eastAsia" w:cs="宋体" w:asciiTheme="minorEastAsia" w:hAnsiTheme="minorEastAsia" w:eastAsiaTheme="minorEastAsia"/>
          <w:sz w:val="28"/>
          <w:szCs w:val="28"/>
          <w:lang w:eastAsia="zh-CN"/>
        </w:rPr>
        <w:t>导板2的下方设置有碎土挡板3，柴油机5远离燃油箱6的一侧设置有消音器8，且柴油机5的下方设置有柴油颗粒物过滤模块4，柴油颗粒物过滤模块4与柴油机5之间通过卡环固定连接，使柴油颗粒物过滤模块4方便拆装，柴油颗粒物过滤模块4与消音器8之间通过废气进口14和导管连接，使柴油颗粒物过滤模块4能够净化排放废气。</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lang w:eastAsia="zh-CN"/>
        </w:rPr>
        <w:t>柴油机5的表面偏上位置设置有启动拉把12，柴油颗粒物过滤模块4的一端设置有废气进口14，排气口17的朝向与柴油机5的轴向方向一致，使废气从操作人员的侧面排出，使废气排放到离操作人员最远位置；排放且柴油颗粒物过滤模块4的另一端设置有排气口17，柴油颗粒物过滤模块4的内部靠近废气进口14的一端设置有氧化催化层15，氧化催化层15的一侧设置有颗粒物过滤层16，挖根机主体11的上方一端设置有高压帽10</w:t>
      </w:r>
      <w:r>
        <w:rPr>
          <w:rFonts w:hint="eastAsia" w:cs="宋体" w:asciiTheme="minorEastAsia" w:hAnsiTheme="minorEastAsia" w:eastAsiaTheme="minorEastAsia"/>
          <w:sz w:val="28"/>
          <w:szCs w:val="28"/>
        </w:rPr>
        <w:t>。</w:t>
      </w:r>
    </w:p>
    <w:p>
      <w:pPr>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本实用新型中</w:t>
      </w:r>
      <w:r>
        <w:rPr>
          <w:rFonts w:hint="eastAsia" w:cs="宋体" w:asciiTheme="minorEastAsia" w:hAnsiTheme="minorEastAsia" w:eastAsiaTheme="minorEastAsia"/>
          <w:sz w:val="28"/>
          <w:szCs w:val="28"/>
          <w:lang w:eastAsia="zh-CN"/>
        </w:rPr>
        <w:t>氧化催化层15</w:t>
      </w:r>
      <w:r>
        <w:rPr>
          <w:rFonts w:hint="eastAsia" w:cs="宋体" w:asciiTheme="minorEastAsia" w:hAnsiTheme="minorEastAsia" w:eastAsiaTheme="minorEastAsia"/>
          <w:sz w:val="28"/>
          <w:szCs w:val="28"/>
        </w:rPr>
        <w:t>为已经公开的广泛运用与日常生活的已知技术，指设计将柴油燃烧后的排放物如一氧化碳、碳氢化合物和SOF，进行氧化，然后产生二氧化碳和水</w:t>
      </w:r>
      <w:r>
        <w:rPr>
          <w:rFonts w:hint="eastAsia" w:cs="宋体" w:asciiTheme="minorEastAsia" w:hAnsiTheme="minorEastAsia" w:eastAsiaTheme="minorEastAsia"/>
          <w:sz w:val="28"/>
          <w:szCs w:val="28"/>
          <w:lang w:eastAsia="zh-CN"/>
        </w:rPr>
        <w:t>。</w:t>
      </w:r>
    </w:p>
    <w:p>
      <w:pPr>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sz w:val="28"/>
          <w:szCs w:val="28"/>
        </w:rPr>
        <w:t>本实用新型的工作原理及使用流程：本实用新型</w:t>
      </w:r>
      <w:r>
        <w:rPr>
          <w:rFonts w:hint="eastAsia" w:cs="宋体" w:asciiTheme="minorEastAsia" w:hAnsiTheme="minorEastAsia" w:eastAsiaTheme="minorEastAsia"/>
          <w:sz w:val="28"/>
          <w:szCs w:val="28"/>
          <w:lang w:eastAsia="zh-CN"/>
        </w:rPr>
        <w:t>安装好过后，操作柴油机</w:t>
      </w:r>
      <w:r>
        <w:rPr>
          <w:rFonts w:hint="eastAsia" w:cs="宋体" w:asciiTheme="minorEastAsia" w:hAnsiTheme="minorEastAsia" w:eastAsiaTheme="minorEastAsia"/>
          <w:sz w:val="28"/>
          <w:szCs w:val="28"/>
          <w:lang w:val="en-US" w:eastAsia="zh-CN"/>
        </w:rPr>
        <w:t>5运行，柴油机5运行产生的废气通过消音器8从</w:t>
      </w:r>
      <w:r>
        <w:rPr>
          <w:rFonts w:hint="eastAsia" w:cs="宋体" w:asciiTheme="minorEastAsia" w:hAnsiTheme="minorEastAsia" w:eastAsiaTheme="minorEastAsia"/>
          <w:sz w:val="28"/>
          <w:szCs w:val="28"/>
          <w:lang w:eastAsia="zh-CN"/>
        </w:rPr>
        <w:t>废气进口14进入柴油颗粒物过滤模块4中，废气经过氧化催化层15将其中的有害物质进行氧化，生产二氧化碳和水，氧化后的废气在通过颗粒物过滤层16过滤其中的微粒，将柴油机</w:t>
      </w:r>
      <w:r>
        <w:rPr>
          <w:rFonts w:hint="eastAsia" w:cs="宋体" w:asciiTheme="minorEastAsia" w:hAnsiTheme="minorEastAsia" w:eastAsiaTheme="minorEastAsia"/>
          <w:sz w:val="28"/>
          <w:szCs w:val="28"/>
          <w:lang w:val="en-US" w:eastAsia="zh-CN"/>
        </w:rPr>
        <w:t>5产生的废气危害降到最低，通过排气口17排出</w:t>
      </w:r>
      <w:r>
        <w:rPr>
          <w:rFonts w:hint="eastAsia" w:asciiTheme="minorEastAsia" w:hAnsiTheme="minorEastAsia" w:eastAsiaTheme="minorEastAsia"/>
          <w:color w:val="000000" w:themeColor="text1"/>
          <w:sz w:val="28"/>
          <w:szCs w:val="28"/>
          <w14:textFill>
            <w14:solidFill>
              <w14:schemeClr w14:val="tx1"/>
            </w14:solidFill>
          </w14:textFill>
        </w:rPr>
        <w:t>。</w:t>
      </w:r>
    </w:p>
    <w:p>
      <w:pPr>
        <w:ind w:firstLine="560"/>
        <w:rPr>
          <w:rFonts w:cs="宋体" w:asciiTheme="minorEastAsia" w:hAnsiTheme="minorEastAsia" w:eastAsiaTheme="minorEastAsia"/>
          <w:kern w:val="0"/>
          <w:sz w:val="28"/>
          <w:szCs w:val="28"/>
        </w:rPr>
        <w:sectPr>
          <w:headerReference r:id="rId13" w:type="default"/>
          <w:footerReference r:id="rId14" w:type="default"/>
          <w:pgSz w:w="11906" w:h="16838"/>
          <w:pgMar w:top="1418" w:right="1134" w:bottom="1134" w:left="1418" w:header="567" w:footer="567" w:gutter="0"/>
          <w:lnNumType w:countBy="0" w:restart="continuous"/>
          <w:pgNumType w:start="1"/>
          <w:cols w:space="720" w:num="1"/>
          <w:docGrid w:type="lines" w:linePitch="381" w:charSpace="0"/>
        </w:sectPr>
      </w:pPr>
      <w:r>
        <w:rPr>
          <w:rFonts w:hint="eastAsia" w:cs="宋体" w:asciiTheme="minorEastAsia" w:hAnsiTheme="minorEastAsia" w:eastAsiaTheme="minorEastAsia"/>
          <w:color w:val="000000" w:themeColor="text1"/>
          <w:sz w:val="28"/>
          <w:szCs w:val="28"/>
          <w14:textFill>
            <w14:solidFill>
              <w14:schemeClr w14:val="tx1"/>
            </w14:solidFill>
          </w14:textFill>
        </w:rPr>
        <w:t>尽管已经示出和描述了本实用新型的实施例，对于本领域的普通技术人员而言，可以理解在不脱离本实</w:t>
      </w:r>
      <w:r>
        <w:rPr>
          <w:rFonts w:hint="eastAsia" w:cs="宋体" w:asciiTheme="minorEastAsia" w:hAnsiTheme="minorEastAsia" w:eastAsiaTheme="minorEastAsia"/>
          <w:sz w:val="28"/>
          <w:szCs w:val="28"/>
        </w:rPr>
        <w:t>用新型的原理和精神的情况下可以对这些实施例进行多种变化、修改、替换和变型，本实用新型的范围由所附权利要求及其等同物限定。</w:t>
      </w:r>
    </w:p>
    <w:p>
      <w:pPr>
        <w:pStyle w:val="22"/>
        <w:spacing w:line="360" w:lineRule="auto"/>
        <w:jc w:val="center"/>
      </w:pPr>
    </w:p>
    <w:p>
      <w:pPr>
        <w:pStyle w:val="22"/>
        <w:spacing w:line="360" w:lineRule="auto"/>
        <w:jc w:val="center"/>
      </w:pPr>
    </w:p>
    <w:p>
      <w:pPr>
        <w:pStyle w:val="22"/>
        <w:spacing w:line="360" w:lineRule="auto"/>
        <w:jc w:val="center"/>
      </w:pPr>
    </w:p>
    <w:p>
      <w:pPr>
        <w:pStyle w:val="22"/>
        <w:spacing w:line="360" w:lineRule="auto"/>
        <w:jc w:val="center"/>
        <w:rPr>
          <w:rFonts w:asciiTheme="minorEastAsia" w:hAnsiTheme="minorEastAsia" w:eastAsiaTheme="minorEastAsia"/>
          <w:bCs w:val="0"/>
          <w:sz w:val="28"/>
          <w:szCs w:val="28"/>
        </w:rPr>
      </w:pPr>
      <w:r>
        <w:drawing>
          <wp:inline distT="0" distB="0" distL="114300" distR="114300">
            <wp:extent cx="5691505" cy="2630805"/>
            <wp:effectExtent l="0" t="0" r="4445" b="171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5691505" cy="2630805"/>
                    </a:xfrm>
                    <a:prstGeom prst="rect">
                      <a:avLst/>
                    </a:prstGeom>
                    <a:noFill/>
                    <a:ln w="9525">
                      <a:noFill/>
                    </a:ln>
                  </pic:spPr>
                </pic:pic>
              </a:graphicData>
            </a:graphic>
          </wp:inline>
        </w:drawing>
      </w:r>
    </w:p>
    <w:p>
      <w:pPr>
        <w:widowControl/>
        <w:spacing w:line="240" w:lineRule="auto"/>
        <w:ind w:firstLine="0" w:firstLineChars="0"/>
        <w:jc w:val="center"/>
        <w:rPr>
          <w:rFonts w:hint="eastAsia" w:cs="宋体" w:asciiTheme="minorEastAsia" w:hAnsiTheme="minorEastAsia" w:eastAsiaTheme="minorEastAsia"/>
          <w:bCs/>
          <w:sz w:val="28"/>
          <w:szCs w:val="28"/>
        </w:rPr>
      </w:pPr>
      <w:r>
        <w:rPr>
          <w:rFonts w:hint="eastAsia" w:cs="宋体" w:asciiTheme="minorEastAsia" w:hAnsiTheme="minorEastAsia" w:eastAsiaTheme="minorEastAsia"/>
          <w:bCs/>
          <w:sz w:val="28"/>
          <w:szCs w:val="28"/>
        </w:rPr>
        <w:t>图1</w:t>
      </w:r>
    </w:p>
    <w:p>
      <w:pPr>
        <w:widowControl/>
        <w:spacing w:line="240" w:lineRule="auto"/>
        <w:ind w:firstLine="0" w:firstLineChars="0"/>
        <w:jc w:val="center"/>
        <w:rPr>
          <w:rFonts w:hint="eastAsia" w:cs="宋体" w:asciiTheme="minorEastAsia" w:hAnsiTheme="minorEastAsia" w:eastAsiaTheme="minorEastAsia"/>
          <w:bCs/>
          <w:sz w:val="28"/>
          <w:szCs w:val="28"/>
        </w:rPr>
      </w:pPr>
      <w:bookmarkStart w:id="0" w:name="_GoBack"/>
      <w:bookmarkEnd w:id="0"/>
    </w:p>
    <w:p>
      <w:pPr>
        <w:widowControl/>
        <w:spacing w:line="240" w:lineRule="auto"/>
        <w:ind w:firstLine="0" w:firstLineChars="0"/>
        <w:jc w:val="center"/>
        <w:rPr>
          <w:rFonts w:hint="eastAsia" w:cs="宋体" w:asciiTheme="minorEastAsia" w:hAnsiTheme="minorEastAsia" w:eastAsiaTheme="minorEastAsia"/>
          <w:bCs/>
          <w:sz w:val="28"/>
          <w:szCs w:val="28"/>
        </w:rPr>
      </w:pPr>
    </w:p>
    <w:p>
      <w:pPr>
        <w:widowControl/>
        <w:spacing w:line="240" w:lineRule="auto"/>
        <w:ind w:firstLine="0" w:firstLineChars="0"/>
        <w:jc w:val="center"/>
        <w:rPr>
          <w:rFonts w:hint="eastAsia" w:cs="宋体" w:asciiTheme="minorEastAsia" w:hAnsiTheme="minorEastAsia" w:eastAsiaTheme="minorEastAsia"/>
          <w:bCs/>
          <w:sz w:val="28"/>
          <w:szCs w:val="28"/>
        </w:rPr>
      </w:pPr>
    </w:p>
    <w:p>
      <w:pPr>
        <w:ind w:firstLine="0" w:firstLineChars="0"/>
        <w:jc w:val="center"/>
        <w:rPr>
          <w:rFonts w:cs="宋体" w:asciiTheme="minorEastAsia" w:hAnsiTheme="minorEastAsia" w:eastAsiaTheme="minorEastAsia"/>
          <w:bCs/>
          <w:sz w:val="28"/>
          <w:szCs w:val="28"/>
        </w:rPr>
      </w:pPr>
      <w:r>
        <w:drawing>
          <wp:inline distT="0" distB="0" distL="114300" distR="114300">
            <wp:extent cx="4990465" cy="2856865"/>
            <wp:effectExtent l="0" t="0" r="635"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9"/>
                    <a:stretch>
                      <a:fillRect/>
                    </a:stretch>
                  </pic:blipFill>
                  <pic:spPr>
                    <a:xfrm>
                      <a:off x="0" y="0"/>
                      <a:ext cx="4990465" cy="2856865"/>
                    </a:xfrm>
                    <a:prstGeom prst="rect">
                      <a:avLst/>
                    </a:prstGeom>
                    <a:noFill/>
                    <a:ln w="9525">
                      <a:noFill/>
                    </a:ln>
                  </pic:spPr>
                </pic:pic>
              </a:graphicData>
            </a:graphic>
          </wp:inline>
        </w:drawing>
      </w:r>
    </w:p>
    <w:p>
      <w:pPr>
        <w:ind w:firstLine="0" w:firstLineChars="0"/>
        <w:jc w:val="center"/>
        <w:rPr>
          <w:rFonts w:cs="宋体" w:asciiTheme="minorEastAsia" w:hAnsiTheme="minorEastAsia" w:eastAsiaTheme="minorEastAsia"/>
          <w:bCs/>
          <w:sz w:val="28"/>
          <w:szCs w:val="28"/>
        </w:rPr>
      </w:pPr>
      <w:r>
        <w:rPr>
          <w:rFonts w:hint="eastAsia" w:cs="宋体" w:asciiTheme="minorEastAsia" w:hAnsiTheme="minorEastAsia" w:eastAsiaTheme="minorEastAsia"/>
          <w:bCs/>
          <w:sz w:val="28"/>
          <w:szCs w:val="28"/>
        </w:rPr>
        <w:t>图2</w:t>
      </w:r>
    </w:p>
    <w:sectPr>
      <w:headerReference r:id="rId15" w:type="default"/>
      <w:footerReference r:id="rId16" w:type="default"/>
      <w:pgSz w:w="11906" w:h="16838"/>
      <w:pgMar w:top="1418" w:right="1134" w:bottom="1134" w:left="1418" w:header="567" w:footer="567" w:gutter="0"/>
      <w:lnNumType w:countBy="0" w:restart="continuous"/>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spacing w:line="200" w:lineRule="exact"/>
      <w:ind w:firstLine="360"/>
    </w:pPr>
    <w:r>
      <w:t>1000</w:t>
    </w:r>
    <w:r>
      <w:rPr>
        <w:rFonts w:hint="eastAsia"/>
      </w:rPr>
      <w:t>4</w:t>
    </w:r>
  </w:p>
  <w:p>
    <w:pPr>
      <w:pStyle w:val="6"/>
      <w:pBdr>
        <w:top w:val="single" w:color="auto" w:sz="4" w:space="1"/>
      </w:pBdr>
      <w:spacing w:line="200" w:lineRule="exact"/>
      <w:ind w:firstLine="360"/>
    </w:pPr>
    <w:r>
      <w:rPr>
        <w:rFonts w:hint="eastAsia"/>
      </w:rPr>
      <w:t>2010.2</w:t>
    </w:r>
  </w:p>
  <w:p>
    <w:pPr>
      <w:pStyle w:val="6"/>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spacing w:line="200" w:lineRule="exact"/>
      <w:ind w:firstLine="360"/>
    </w:pPr>
    <w:r>
      <w:drawing>
        <wp:anchor distT="0" distB="0" distL="114300" distR="114300" simplePos="0" relativeHeight="251658240" behindDoc="0" locked="0" layoutInCell="1" allowOverlap="1">
          <wp:simplePos x="0" y="0"/>
          <wp:positionH relativeFrom="column">
            <wp:posOffset>410210</wp:posOffset>
          </wp:positionH>
          <wp:positionV relativeFrom="paragraph">
            <wp:posOffset>17780</wp:posOffset>
          </wp:positionV>
          <wp:extent cx="732790" cy="284480"/>
          <wp:effectExtent l="19050" t="0" r="0" b="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noChangeArrowheads="1"/>
                  </pic:cNvPicPr>
                </pic:nvPicPr>
                <pic:blipFill>
                  <a:blip r:embed="rId1"/>
                  <a:srcRect/>
                  <a:stretch>
                    <a:fillRect/>
                  </a:stretch>
                </pic:blipFill>
                <pic:spPr>
                  <a:xfrm>
                    <a:off x="0" y="0"/>
                    <a:ext cx="732790" cy="284480"/>
                  </a:xfrm>
                  <a:prstGeom prst="rect">
                    <a:avLst/>
                  </a:prstGeom>
                  <a:noFill/>
                  <a:ln w="9525">
                    <a:noFill/>
                    <a:miter lim="800000"/>
                    <a:headEnd/>
                    <a:tailEnd/>
                  </a:ln>
                </pic:spPr>
              </pic:pic>
            </a:graphicData>
          </a:graphic>
        </wp:anchor>
      </w:drawing>
    </w:r>
    <w:r>
      <w:t>10002</w:t>
    </w:r>
  </w:p>
  <w:p>
    <w:pPr>
      <w:pStyle w:val="6"/>
      <w:pBdr>
        <w:top w:val="single" w:color="auto" w:sz="4" w:space="1"/>
      </w:pBdr>
      <w:spacing w:line="200" w:lineRule="exact"/>
      <w:ind w:firstLine="360"/>
    </w:pPr>
    <w:r>
      <w:rPr>
        <w:rFonts w:hint="eastAsia"/>
      </w:rPr>
      <w:t>2002.8</w:t>
    </w:r>
  </w:p>
  <w:p>
    <w:pPr>
      <w:pStyle w:val="6"/>
      <w:pBdr>
        <w:top w:val="single" w:color="auto" w:sz="4" w:space="1"/>
      </w:pBdr>
      <w:spacing w:line="200" w:lineRule="exact"/>
      <w:ind w:firstLine="48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spacing w:line="200" w:lineRule="exact"/>
      <w:ind w:firstLine="360"/>
    </w:pPr>
    <w:r>
      <w:t>1000</w:t>
    </w:r>
    <w:r>
      <w:rPr>
        <w:rFonts w:hint="eastAsia"/>
      </w:rPr>
      <w:t>5</w:t>
    </w:r>
  </w:p>
  <w:p>
    <w:pPr>
      <w:pStyle w:val="6"/>
      <w:pBdr>
        <w:top w:val="single" w:color="auto" w:sz="4" w:space="1"/>
      </w:pBdr>
      <w:spacing w:line="200" w:lineRule="exact"/>
      <w:ind w:firstLine="360"/>
    </w:pPr>
    <w:r>
      <w:rPr>
        <w:rFonts w:hint="eastAsia"/>
      </w:rPr>
      <w:t>2010.2</w:t>
    </w:r>
  </w:p>
  <w:p>
    <w:pPr>
      <w:pStyle w:val="6"/>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spacing w:line="200" w:lineRule="exact"/>
      <w:ind w:firstLine="360"/>
    </w:pPr>
    <w:r>
      <w:t>1000</w:t>
    </w:r>
    <w:r>
      <w:rPr>
        <w:rFonts w:hint="eastAsia"/>
      </w:rPr>
      <w:t>1</w:t>
    </w:r>
  </w:p>
  <w:p>
    <w:pPr>
      <w:pStyle w:val="6"/>
      <w:pBdr>
        <w:top w:val="single" w:color="auto" w:sz="4" w:space="1"/>
      </w:pBdr>
      <w:spacing w:line="200" w:lineRule="exact"/>
      <w:ind w:firstLine="360"/>
    </w:pPr>
    <w:r>
      <w:rPr>
        <w:rFonts w:hint="eastAsia"/>
      </w:rPr>
      <w:t>2010.2</w:t>
    </w:r>
  </w:p>
  <w:p>
    <w:pPr>
      <w:pStyle w:val="6"/>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spacing w:line="200" w:lineRule="exact"/>
      <w:ind w:firstLine="360"/>
    </w:pPr>
    <w:r>
      <w:t>1000</w:t>
    </w:r>
    <w:r>
      <w:rPr>
        <w:rFonts w:hint="eastAsia"/>
      </w:rPr>
      <w:t>2</w:t>
    </w:r>
  </w:p>
  <w:p>
    <w:pPr>
      <w:pStyle w:val="6"/>
      <w:pBdr>
        <w:top w:val="single" w:color="auto" w:sz="4" w:space="1"/>
      </w:pBdr>
      <w:spacing w:line="200" w:lineRule="exact"/>
      <w:ind w:firstLine="360"/>
    </w:pPr>
    <w:r>
      <w:rPr>
        <w:rFonts w:hint="eastAsia"/>
      </w:rPr>
      <w:t>201</w:t>
    </w:r>
    <w:r>
      <w:t>4</w:t>
    </w:r>
    <w:r>
      <w:rPr>
        <w:rFonts w:hint="eastAsia"/>
      </w:rPr>
      <w:t>.</w:t>
    </w:r>
    <w:r>
      <w:t>1</w:t>
    </w:r>
    <w:r>
      <w:rPr>
        <w:rFonts w:hint="eastAsia"/>
      </w:rPr>
      <w:t>2</w:t>
    </w:r>
  </w:p>
  <w:p>
    <w:pPr>
      <w:pStyle w:val="6"/>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spacing w:line="200" w:lineRule="exact"/>
      <w:ind w:firstLine="360"/>
    </w:pPr>
    <w:r>
      <w:t>1000</w:t>
    </w:r>
    <w:r>
      <w:rPr>
        <w:rFonts w:hint="eastAsia"/>
      </w:rPr>
      <w:t>3</w:t>
    </w:r>
  </w:p>
  <w:p>
    <w:pPr>
      <w:pStyle w:val="6"/>
      <w:pBdr>
        <w:top w:val="single" w:color="auto" w:sz="4" w:space="1"/>
      </w:pBdr>
      <w:spacing w:line="200" w:lineRule="exact"/>
      <w:ind w:firstLine="360"/>
    </w:pPr>
    <w:r>
      <w:rPr>
        <w:rFonts w:hint="eastAsia"/>
      </w:rPr>
      <w:t>2010.2</w:t>
    </w:r>
  </w:p>
  <w:p>
    <w:pPr>
      <w:pStyle w:val="6"/>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ascii="黑体" w:hAnsi="黑体" w:eastAsia="黑体"/>
        <w:sz w:val="28"/>
        <w:szCs w:val="28"/>
      </w:rPr>
    </w:pPr>
    <w:r>
      <w:rPr>
        <w:rFonts w:hint="eastAsia" w:ascii="黑体" w:hAnsi="黑体" w:eastAsia="黑体"/>
        <w:bCs/>
        <w:sz w:val="28"/>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tabs>
        <w:tab w:val="center" w:pos="4677"/>
        <w:tab w:val="left" w:pos="8370"/>
      </w:tabs>
      <w:wordWrap w:val="0"/>
      <w:ind w:firstLine="420"/>
      <w:jc w:val="right"/>
      <w:rPr>
        <w:b/>
        <w:bCs/>
        <w:sz w:val="32"/>
      </w:rPr>
    </w:pPr>
    <w:r>
      <w:rPr>
        <w:sz w:val="21"/>
      </w:rPr>
      <w:t>MP120</w:t>
    </w:r>
    <w:r>
      <w:rPr>
        <w:rFonts w:hint="eastAsia"/>
        <w:sz w:val="21"/>
      </w:rPr>
      <w:t>8682</w:t>
    </w:r>
  </w:p>
  <w:p>
    <w:pPr>
      <w:pBdr>
        <w:bottom w:val="single" w:color="auto" w:sz="4" w:space="1"/>
      </w:pBdr>
      <w:ind w:firstLine="643"/>
      <w:jc w:val="center"/>
      <w:outlineLvl w:val="0"/>
      <w:rPr>
        <w:szCs w:val="28"/>
      </w:rPr>
    </w:pPr>
    <w:r>
      <w:rPr>
        <w:rFonts w:hint="eastAsia"/>
        <w:b/>
        <w:bCs/>
        <w:sz w:val="32"/>
        <w:szCs w:val="28"/>
      </w:rPr>
      <w:t>权　利　要　求　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ascii="黑体" w:hAnsi="黑体" w:eastAsia="黑体"/>
        <w:sz w:val="28"/>
        <w:szCs w:val="28"/>
      </w:rPr>
    </w:pPr>
    <w:r>
      <w:rPr>
        <w:rFonts w:hint="eastAsia" w:ascii="黑体" w:hAnsi="黑体" w:eastAsia="黑体"/>
        <w:bCs/>
        <w:sz w:val="28"/>
        <w:szCs w:val="28"/>
      </w:rPr>
      <w:t>摘 要 附 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ascii="黑体" w:hAnsi="黑体" w:eastAsia="黑体"/>
        <w:sz w:val="28"/>
        <w:szCs w:val="28"/>
      </w:rPr>
    </w:pPr>
    <w:r>
      <w:rPr>
        <w:rFonts w:hint="eastAsia" w:ascii="黑体" w:hAnsi="黑体" w:eastAsia="黑体"/>
        <w:bCs/>
        <w:sz w:val="28"/>
        <w:szCs w:val="28"/>
      </w:rPr>
      <w:t>权 利 要 求 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ascii="黑体" w:hAnsi="黑体" w:eastAsia="黑体"/>
        <w:sz w:val="28"/>
        <w:szCs w:val="28"/>
      </w:rPr>
    </w:pPr>
    <w:r>
      <w:rPr>
        <w:rFonts w:hint="eastAsia" w:ascii="黑体" w:hAnsi="黑体" w:eastAsia="黑体"/>
        <w:bCs/>
        <w:sz w:val="28"/>
        <w:szCs w:val="28"/>
      </w:rPr>
      <w:t>说　明　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ascii="黑体" w:hAnsi="黑体" w:eastAsia="黑体"/>
        <w:sz w:val="28"/>
        <w:szCs w:val="28"/>
      </w:rPr>
    </w:pPr>
    <w:r>
      <w:rPr>
        <w:rFonts w:hint="eastAsia" w:ascii="黑体" w:hAnsi="黑体" w:eastAsia="黑体"/>
        <w:bCs/>
        <w:sz w:val="28"/>
        <w:szCs w:val="28"/>
      </w:rPr>
      <w:t>说 明 书 附 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0"/>
  <w:bordersDoNotSurroundFooter w:val="0"/>
  <w:documentProtection w:enforcement="0"/>
  <w:defaultTabStop w:val="420"/>
  <w:drawingGridHorizontalSpacing w:val="0"/>
  <w:drawingGridVerticalSpacing w:val="381"/>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C80"/>
    <w:rsid w:val="00003094"/>
    <w:rsid w:val="0002661D"/>
    <w:rsid w:val="00035C30"/>
    <w:rsid w:val="0004058E"/>
    <w:rsid w:val="00046CD4"/>
    <w:rsid w:val="00050567"/>
    <w:rsid w:val="00056A06"/>
    <w:rsid w:val="000571DD"/>
    <w:rsid w:val="000731B6"/>
    <w:rsid w:val="00075D32"/>
    <w:rsid w:val="00081D63"/>
    <w:rsid w:val="00090A7C"/>
    <w:rsid w:val="0009279B"/>
    <w:rsid w:val="000A18E5"/>
    <w:rsid w:val="000C59F6"/>
    <w:rsid w:val="000C610D"/>
    <w:rsid w:val="000D5B06"/>
    <w:rsid w:val="000E0430"/>
    <w:rsid w:val="000E5841"/>
    <w:rsid w:val="000E7E67"/>
    <w:rsid w:val="00103157"/>
    <w:rsid w:val="00104672"/>
    <w:rsid w:val="00106A4D"/>
    <w:rsid w:val="0011365C"/>
    <w:rsid w:val="00116259"/>
    <w:rsid w:val="001242B2"/>
    <w:rsid w:val="001276F2"/>
    <w:rsid w:val="00140CDA"/>
    <w:rsid w:val="001419CC"/>
    <w:rsid w:val="00172A27"/>
    <w:rsid w:val="0019029E"/>
    <w:rsid w:val="00197F45"/>
    <w:rsid w:val="001A41BA"/>
    <w:rsid w:val="001B6A55"/>
    <w:rsid w:val="001C40B0"/>
    <w:rsid w:val="001C4167"/>
    <w:rsid w:val="001D2D10"/>
    <w:rsid w:val="001D317E"/>
    <w:rsid w:val="001E0227"/>
    <w:rsid w:val="001E4C1D"/>
    <w:rsid w:val="002007C7"/>
    <w:rsid w:val="00201643"/>
    <w:rsid w:val="00214225"/>
    <w:rsid w:val="0022085B"/>
    <w:rsid w:val="00221BD1"/>
    <w:rsid w:val="0023032D"/>
    <w:rsid w:val="00241048"/>
    <w:rsid w:val="00242512"/>
    <w:rsid w:val="00242AFE"/>
    <w:rsid w:val="00244EE8"/>
    <w:rsid w:val="00260436"/>
    <w:rsid w:val="00280F5D"/>
    <w:rsid w:val="002820C9"/>
    <w:rsid w:val="00286555"/>
    <w:rsid w:val="00293ED4"/>
    <w:rsid w:val="00294A4E"/>
    <w:rsid w:val="002A6A01"/>
    <w:rsid w:val="002B20F3"/>
    <w:rsid w:val="002D1592"/>
    <w:rsid w:val="002D5583"/>
    <w:rsid w:val="002E19E4"/>
    <w:rsid w:val="002E405C"/>
    <w:rsid w:val="002F089A"/>
    <w:rsid w:val="002F436D"/>
    <w:rsid w:val="003035F3"/>
    <w:rsid w:val="00321F26"/>
    <w:rsid w:val="003222AE"/>
    <w:rsid w:val="00324532"/>
    <w:rsid w:val="00352587"/>
    <w:rsid w:val="00366706"/>
    <w:rsid w:val="00372BA1"/>
    <w:rsid w:val="00374D10"/>
    <w:rsid w:val="003A5BFA"/>
    <w:rsid w:val="003A7542"/>
    <w:rsid w:val="003A7A6E"/>
    <w:rsid w:val="003D286E"/>
    <w:rsid w:val="003E1474"/>
    <w:rsid w:val="003E1C1E"/>
    <w:rsid w:val="003E5572"/>
    <w:rsid w:val="003F2D0E"/>
    <w:rsid w:val="004016DA"/>
    <w:rsid w:val="00402871"/>
    <w:rsid w:val="00404615"/>
    <w:rsid w:val="00415B84"/>
    <w:rsid w:val="004201A6"/>
    <w:rsid w:val="00420987"/>
    <w:rsid w:val="00425E2B"/>
    <w:rsid w:val="00431913"/>
    <w:rsid w:val="004336C7"/>
    <w:rsid w:val="00435715"/>
    <w:rsid w:val="004429FA"/>
    <w:rsid w:val="00445751"/>
    <w:rsid w:val="0046352B"/>
    <w:rsid w:val="00467F13"/>
    <w:rsid w:val="0047186A"/>
    <w:rsid w:val="004733DC"/>
    <w:rsid w:val="0047796D"/>
    <w:rsid w:val="00485813"/>
    <w:rsid w:val="00485D1E"/>
    <w:rsid w:val="004871FB"/>
    <w:rsid w:val="004929F1"/>
    <w:rsid w:val="00494B73"/>
    <w:rsid w:val="004C4F6C"/>
    <w:rsid w:val="004D6C66"/>
    <w:rsid w:val="004F0724"/>
    <w:rsid w:val="004F57C6"/>
    <w:rsid w:val="00506A58"/>
    <w:rsid w:val="00507796"/>
    <w:rsid w:val="00512AEC"/>
    <w:rsid w:val="00523055"/>
    <w:rsid w:val="0053072E"/>
    <w:rsid w:val="00533D83"/>
    <w:rsid w:val="00536426"/>
    <w:rsid w:val="0054283E"/>
    <w:rsid w:val="00547251"/>
    <w:rsid w:val="00547D91"/>
    <w:rsid w:val="00561EE7"/>
    <w:rsid w:val="00577D3A"/>
    <w:rsid w:val="005B2136"/>
    <w:rsid w:val="005C2294"/>
    <w:rsid w:val="005C4FB2"/>
    <w:rsid w:val="005C5545"/>
    <w:rsid w:val="005E71D9"/>
    <w:rsid w:val="00615E62"/>
    <w:rsid w:val="00631079"/>
    <w:rsid w:val="00633C23"/>
    <w:rsid w:val="00634C33"/>
    <w:rsid w:val="00637675"/>
    <w:rsid w:val="00644BA4"/>
    <w:rsid w:val="0064699C"/>
    <w:rsid w:val="006501B1"/>
    <w:rsid w:val="006709E9"/>
    <w:rsid w:val="00672168"/>
    <w:rsid w:val="00681DDF"/>
    <w:rsid w:val="006868D5"/>
    <w:rsid w:val="006B766C"/>
    <w:rsid w:val="006D3796"/>
    <w:rsid w:val="006E6B57"/>
    <w:rsid w:val="006F32FD"/>
    <w:rsid w:val="006F5EA9"/>
    <w:rsid w:val="0071626F"/>
    <w:rsid w:val="00720137"/>
    <w:rsid w:val="00720D0E"/>
    <w:rsid w:val="00725D46"/>
    <w:rsid w:val="00733452"/>
    <w:rsid w:val="00733846"/>
    <w:rsid w:val="00741115"/>
    <w:rsid w:val="007512EC"/>
    <w:rsid w:val="007641C2"/>
    <w:rsid w:val="00764A96"/>
    <w:rsid w:val="007800A4"/>
    <w:rsid w:val="007834E7"/>
    <w:rsid w:val="007A757D"/>
    <w:rsid w:val="007C7EA8"/>
    <w:rsid w:val="007D3046"/>
    <w:rsid w:val="007D4AFD"/>
    <w:rsid w:val="007D4B1D"/>
    <w:rsid w:val="007E27C4"/>
    <w:rsid w:val="007E4106"/>
    <w:rsid w:val="007E79F4"/>
    <w:rsid w:val="007F6151"/>
    <w:rsid w:val="0080716D"/>
    <w:rsid w:val="008171C2"/>
    <w:rsid w:val="00823F76"/>
    <w:rsid w:val="00824F22"/>
    <w:rsid w:val="00831015"/>
    <w:rsid w:val="0084426A"/>
    <w:rsid w:val="0084503C"/>
    <w:rsid w:val="008507E9"/>
    <w:rsid w:val="00855502"/>
    <w:rsid w:val="008639F6"/>
    <w:rsid w:val="00864D96"/>
    <w:rsid w:val="00865AB1"/>
    <w:rsid w:val="00866F82"/>
    <w:rsid w:val="0087090F"/>
    <w:rsid w:val="0087142D"/>
    <w:rsid w:val="00872C69"/>
    <w:rsid w:val="0087617A"/>
    <w:rsid w:val="00894DEE"/>
    <w:rsid w:val="008957D2"/>
    <w:rsid w:val="008B1DB8"/>
    <w:rsid w:val="008B3D7D"/>
    <w:rsid w:val="008D0B12"/>
    <w:rsid w:val="008E36B8"/>
    <w:rsid w:val="008F26CB"/>
    <w:rsid w:val="008F4411"/>
    <w:rsid w:val="00903782"/>
    <w:rsid w:val="009107C6"/>
    <w:rsid w:val="00921774"/>
    <w:rsid w:val="00923A60"/>
    <w:rsid w:val="00932DD5"/>
    <w:rsid w:val="0093351C"/>
    <w:rsid w:val="009442B2"/>
    <w:rsid w:val="0094454C"/>
    <w:rsid w:val="0096295F"/>
    <w:rsid w:val="00970988"/>
    <w:rsid w:val="00970D70"/>
    <w:rsid w:val="0097518E"/>
    <w:rsid w:val="00980C71"/>
    <w:rsid w:val="00985047"/>
    <w:rsid w:val="0098759A"/>
    <w:rsid w:val="009A6950"/>
    <w:rsid w:val="009B4546"/>
    <w:rsid w:val="009C1958"/>
    <w:rsid w:val="009E04C6"/>
    <w:rsid w:val="009E1FB3"/>
    <w:rsid w:val="009F1FA3"/>
    <w:rsid w:val="00A002E0"/>
    <w:rsid w:val="00A11945"/>
    <w:rsid w:val="00A13F20"/>
    <w:rsid w:val="00A20BB8"/>
    <w:rsid w:val="00A54031"/>
    <w:rsid w:val="00A633CC"/>
    <w:rsid w:val="00A679F3"/>
    <w:rsid w:val="00A75152"/>
    <w:rsid w:val="00A80394"/>
    <w:rsid w:val="00A80BEF"/>
    <w:rsid w:val="00A82495"/>
    <w:rsid w:val="00A83039"/>
    <w:rsid w:val="00A84904"/>
    <w:rsid w:val="00A87310"/>
    <w:rsid w:val="00A90623"/>
    <w:rsid w:val="00A92CC5"/>
    <w:rsid w:val="00A9493B"/>
    <w:rsid w:val="00AB029F"/>
    <w:rsid w:val="00AB31E3"/>
    <w:rsid w:val="00AB7382"/>
    <w:rsid w:val="00AC5763"/>
    <w:rsid w:val="00AD1795"/>
    <w:rsid w:val="00AD21FA"/>
    <w:rsid w:val="00AE2E12"/>
    <w:rsid w:val="00AE5D0E"/>
    <w:rsid w:val="00B007FB"/>
    <w:rsid w:val="00B00E56"/>
    <w:rsid w:val="00B06575"/>
    <w:rsid w:val="00B10164"/>
    <w:rsid w:val="00B130D0"/>
    <w:rsid w:val="00B24F14"/>
    <w:rsid w:val="00B32E6B"/>
    <w:rsid w:val="00B35763"/>
    <w:rsid w:val="00B41FC0"/>
    <w:rsid w:val="00B505FE"/>
    <w:rsid w:val="00B554C8"/>
    <w:rsid w:val="00B55E82"/>
    <w:rsid w:val="00B63CDE"/>
    <w:rsid w:val="00B65EEA"/>
    <w:rsid w:val="00B67FDB"/>
    <w:rsid w:val="00B72D1D"/>
    <w:rsid w:val="00B80AFF"/>
    <w:rsid w:val="00BA4063"/>
    <w:rsid w:val="00BA428D"/>
    <w:rsid w:val="00BA532E"/>
    <w:rsid w:val="00BA6D1A"/>
    <w:rsid w:val="00BA7A65"/>
    <w:rsid w:val="00BC0433"/>
    <w:rsid w:val="00BC5655"/>
    <w:rsid w:val="00BC6DB2"/>
    <w:rsid w:val="00BD2E7C"/>
    <w:rsid w:val="00BE062D"/>
    <w:rsid w:val="00BF42FE"/>
    <w:rsid w:val="00C30EA4"/>
    <w:rsid w:val="00C37DCB"/>
    <w:rsid w:val="00C42FF1"/>
    <w:rsid w:val="00C51BD3"/>
    <w:rsid w:val="00C5413D"/>
    <w:rsid w:val="00C61D3D"/>
    <w:rsid w:val="00C67DCA"/>
    <w:rsid w:val="00C71915"/>
    <w:rsid w:val="00C8047C"/>
    <w:rsid w:val="00C81917"/>
    <w:rsid w:val="00C819C3"/>
    <w:rsid w:val="00C83818"/>
    <w:rsid w:val="00C96173"/>
    <w:rsid w:val="00C963A5"/>
    <w:rsid w:val="00CA3003"/>
    <w:rsid w:val="00CA324B"/>
    <w:rsid w:val="00CB4948"/>
    <w:rsid w:val="00CC799D"/>
    <w:rsid w:val="00CD061F"/>
    <w:rsid w:val="00CD3678"/>
    <w:rsid w:val="00CE5121"/>
    <w:rsid w:val="00CF730F"/>
    <w:rsid w:val="00D001C9"/>
    <w:rsid w:val="00D04F39"/>
    <w:rsid w:val="00D06E73"/>
    <w:rsid w:val="00D07971"/>
    <w:rsid w:val="00D16111"/>
    <w:rsid w:val="00D1757B"/>
    <w:rsid w:val="00D2709F"/>
    <w:rsid w:val="00D46D66"/>
    <w:rsid w:val="00D5514E"/>
    <w:rsid w:val="00D57A06"/>
    <w:rsid w:val="00D57AFB"/>
    <w:rsid w:val="00D61F8C"/>
    <w:rsid w:val="00D644AA"/>
    <w:rsid w:val="00D81EC8"/>
    <w:rsid w:val="00D81EF6"/>
    <w:rsid w:val="00D82621"/>
    <w:rsid w:val="00D93BD3"/>
    <w:rsid w:val="00DA5BE6"/>
    <w:rsid w:val="00DD05F0"/>
    <w:rsid w:val="00DE0A7B"/>
    <w:rsid w:val="00DE5271"/>
    <w:rsid w:val="00E0716A"/>
    <w:rsid w:val="00E1077E"/>
    <w:rsid w:val="00E10AEC"/>
    <w:rsid w:val="00E20265"/>
    <w:rsid w:val="00E20C8F"/>
    <w:rsid w:val="00E25722"/>
    <w:rsid w:val="00E30663"/>
    <w:rsid w:val="00E426CC"/>
    <w:rsid w:val="00E429C0"/>
    <w:rsid w:val="00E507E0"/>
    <w:rsid w:val="00E56B6B"/>
    <w:rsid w:val="00E65F7A"/>
    <w:rsid w:val="00E722B5"/>
    <w:rsid w:val="00E73CDB"/>
    <w:rsid w:val="00E74145"/>
    <w:rsid w:val="00E758D3"/>
    <w:rsid w:val="00E83BC6"/>
    <w:rsid w:val="00E863BC"/>
    <w:rsid w:val="00E86C0F"/>
    <w:rsid w:val="00E97C50"/>
    <w:rsid w:val="00EA2977"/>
    <w:rsid w:val="00EA4EC2"/>
    <w:rsid w:val="00EB3F39"/>
    <w:rsid w:val="00ED3388"/>
    <w:rsid w:val="00ED5E19"/>
    <w:rsid w:val="00EE1C64"/>
    <w:rsid w:val="00EE43D6"/>
    <w:rsid w:val="00EE7539"/>
    <w:rsid w:val="00F001E0"/>
    <w:rsid w:val="00F01BEB"/>
    <w:rsid w:val="00F0424D"/>
    <w:rsid w:val="00F066B4"/>
    <w:rsid w:val="00F1712E"/>
    <w:rsid w:val="00F21605"/>
    <w:rsid w:val="00F23C92"/>
    <w:rsid w:val="00F253FA"/>
    <w:rsid w:val="00F26BBF"/>
    <w:rsid w:val="00F26BEE"/>
    <w:rsid w:val="00F35FD1"/>
    <w:rsid w:val="00F404D2"/>
    <w:rsid w:val="00F5722C"/>
    <w:rsid w:val="00F61ED2"/>
    <w:rsid w:val="00F6397B"/>
    <w:rsid w:val="00F72A88"/>
    <w:rsid w:val="00F7736E"/>
    <w:rsid w:val="00F85487"/>
    <w:rsid w:val="00F911B1"/>
    <w:rsid w:val="00FA692A"/>
    <w:rsid w:val="00FB0284"/>
    <w:rsid w:val="00FB2691"/>
    <w:rsid w:val="00FB3E4E"/>
    <w:rsid w:val="00FC172E"/>
    <w:rsid w:val="00FC182C"/>
    <w:rsid w:val="00FD0F00"/>
    <w:rsid w:val="00FF3216"/>
    <w:rsid w:val="04511B61"/>
    <w:rsid w:val="143D4301"/>
    <w:rsid w:val="150E05DE"/>
    <w:rsid w:val="18A06AB4"/>
    <w:rsid w:val="1BAE35AF"/>
    <w:rsid w:val="209E3FD0"/>
    <w:rsid w:val="21EB076F"/>
    <w:rsid w:val="22D76D43"/>
    <w:rsid w:val="2AA62B37"/>
    <w:rsid w:val="2F0C7BF2"/>
    <w:rsid w:val="2FC247A8"/>
    <w:rsid w:val="31CF1005"/>
    <w:rsid w:val="340208CE"/>
    <w:rsid w:val="372022F1"/>
    <w:rsid w:val="3745281E"/>
    <w:rsid w:val="3D53645D"/>
    <w:rsid w:val="3E7F2EB5"/>
    <w:rsid w:val="41977FB0"/>
    <w:rsid w:val="41F9083D"/>
    <w:rsid w:val="4ADE3022"/>
    <w:rsid w:val="503C011C"/>
    <w:rsid w:val="62164A90"/>
    <w:rsid w:val="74D87292"/>
    <w:rsid w:val="76FD65AC"/>
    <w:rsid w:val="7C3A10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8"/>
      <w:sz w:val="24"/>
      <w:lang w:val="en-US" w:eastAsia="zh-CN" w:bidi="ar-SA"/>
    </w:rPr>
  </w:style>
  <w:style w:type="paragraph" w:styleId="2">
    <w:name w:val="heading 1"/>
    <w:basedOn w:val="1"/>
    <w:next w:val="1"/>
    <w:link w:val="16"/>
    <w:qFormat/>
    <w:uiPriority w:val="0"/>
    <w:pPr>
      <w:keepNext/>
      <w:jc w:val="right"/>
      <w:outlineLvl w:val="0"/>
    </w:pPr>
    <w:rPr>
      <w:rFonts w:ascii="Arial" w:hAnsi="Arial" w:eastAsia="楷体_GB2312"/>
      <w:b/>
      <w:bCs/>
      <w:sz w:val="18"/>
      <w:szCs w:val="28"/>
    </w:rPr>
  </w:style>
  <w:style w:type="character" w:default="1" w:styleId="9">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8"/>
    <w:qFormat/>
    <w:uiPriority w:val="0"/>
    <w:rPr>
      <w:rFonts w:eastAsia="楷体_GB2312"/>
      <w:sz w:val="28"/>
    </w:rPr>
  </w:style>
  <w:style w:type="paragraph" w:styleId="4">
    <w:name w:val="Body Text Indent"/>
    <w:basedOn w:val="1"/>
    <w:link w:val="15"/>
    <w:unhideWhenUsed/>
    <w:qFormat/>
    <w:uiPriority w:val="99"/>
    <w:pPr>
      <w:spacing w:after="120"/>
      <w:ind w:left="420" w:leftChars="200"/>
    </w:pPr>
  </w:style>
  <w:style w:type="paragraph" w:styleId="5">
    <w:name w:val="Balloon Text"/>
    <w:basedOn w:val="1"/>
    <w:link w:val="23"/>
    <w:unhideWhenUsed/>
    <w:qFormat/>
    <w:uiPriority w:val="99"/>
    <w:pPr>
      <w:spacing w:line="240" w:lineRule="auto"/>
    </w:pPr>
    <w:rPr>
      <w:sz w:val="18"/>
      <w:szCs w:val="18"/>
    </w:rPr>
  </w:style>
  <w:style w:type="paragraph" w:styleId="6">
    <w:name w:val="footer"/>
    <w:basedOn w:val="1"/>
    <w:link w:val="19"/>
    <w:qFormat/>
    <w:uiPriority w:val="0"/>
    <w:pPr>
      <w:tabs>
        <w:tab w:val="center" w:pos="4153"/>
        <w:tab w:val="right" w:pos="8306"/>
      </w:tabs>
      <w:snapToGrid w:val="0"/>
      <w:jc w:val="left"/>
    </w:pPr>
    <w:rPr>
      <w:rFonts w:eastAsia="楷体_GB2312"/>
      <w:sz w:val="18"/>
    </w:rPr>
  </w:style>
  <w:style w:type="paragraph" w:styleId="7">
    <w:name w:val="header"/>
    <w:basedOn w:val="1"/>
    <w:link w:val="17"/>
    <w:qFormat/>
    <w:uiPriority w:val="0"/>
    <w:pPr>
      <w:tabs>
        <w:tab w:val="center" w:pos="4153"/>
        <w:tab w:val="right" w:pos="8306"/>
      </w:tabs>
      <w:snapToGrid w:val="0"/>
      <w:jc w:val="center"/>
    </w:pPr>
    <w:rPr>
      <w:rFonts w:eastAsia="楷体_GB2312"/>
      <w:sz w:val="18"/>
      <w:szCs w:val="18"/>
    </w:rPr>
  </w:style>
  <w:style w:type="paragraph" w:styleId="8">
    <w:name w:val="HTML Preformatted"/>
    <w:basedOn w:val="1"/>
    <w:link w:val="2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s="宋体"/>
      <w:kern w:val="0"/>
      <w:szCs w:val="24"/>
    </w:rPr>
  </w:style>
  <w:style w:type="character" w:styleId="10">
    <w:name w:val="Strong"/>
    <w:qFormat/>
    <w:uiPriority w:val="0"/>
    <w:rPr>
      <w:b/>
      <w:bCs/>
    </w:rPr>
  </w:style>
  <w:style w:type="character" w:styleId="11">
    <w:name w:val="page number"/>
    <w:basedOn w:val="9"/>
    <w:qFormat/>
    <w:uiPriority w:val="0"/>
  </w:style>
  <w:style w:type="character" w:styleId="12">
    <w:name w:val="line number"/>
    <w:basedOn w:val="9"/>
    <w:unhideWhenUsed/>
    <w:qFormat/>
    <w:uiPriority w:val="99"/>
  </w:style>
  <w:style w:type="character" w:styleId="13">
    <w:name w:val="Hyperlink"/>
    <w:basedOn w:val="9"/>
    <w:unhideWhenUsed/>
    <w:qFormat/>
    <w:uiPriority w:val="99"/>
    <w:rPr>
      <w:color w:val="0000FF"/>
      <w:u w:val="single"/>
    </w:rPr>
  </w:style>
  <w:style w:type="character" w:customStyle="1" w:styleId="15">
    <w:name w:val="正文文本缩进 Char"/>
    <w:link w:val="4"/>
    <w:semiHidden/>
    <w:qFormat/>
    <w:uiPriority w:val="99"/>
    <w:rPr>
      <w:rFonts w:ascii="Times New Roman" w:hAnsi="Times New Roman"/>
      <w:kern w:val="28"/>
      <w:sz w:val="24"/>
    </w:rPr>
  </w:style>
  <w:style w:type="character" w:customStyle="1" w:styleId="16">
    <w:name w:val="标题 1 Char"/>
    <w:link w:val="2"/>
    <w:qFormat/>
    <w:uiPriority w:val="0"/>
    <w:rPr>
      <w:rFonts w:ascii="Arial" w:hAnsi="Arial" w:eastAsia="楷体_GB2312" w:cs="Arial"/>
      <w:b/>
      <w:bCs/>
      <w:kern w:val="28"/>
      <w:sz w:val="18"/>
      <w:szCs w:val="28"/>
    </w:rPr>
  </w:style>
  <w:style w:type="character" w:customStyle="1" w:styleId="17">
    <w:name w:val="页眉 Char"/>
    <w:link w:val="7"/>
    <w:qFormat/>
    <w:uiPriority w:val="0"/>
    <w:rPr>
      <w:rFonts w:ascii="Times New Roman" w:hAnsi="Times New Roman" w:eastAsia="楷体_GB2312" w:cs="Times New Roman"/>
      <w:kern w:val="28"/>
      <w:sz w:val="18"/>
      <w:szCs w:val="18"/>
    </w:rPr>
  </w:style>
  <w:style w:type="character" w:customStyle="1" w:styleId="18">
    <w:name w:val="正文文本 Char"/>
    <w:link w:val="3"/>
    <w:qFormat/>
    <w:uiPriority w:val="0"/>
    <w:rPr>
      <w:rFonts w:ascii="Times New Roman" w:hAnsi="Times New Roman" w:eastAsia="楷体_GB2312" w:cs="Times New Roman"/>
      <w:kern w:val="28"/>
      <w:sz w:val="28"/>
      <w:szCs w:val="20"/>
    </w:rPr>
  </w:style>
  <w:style w:type="character" w:customStyle="1" w:styleId="19">
    <w:name w:val="页脚 Char"/>
    <w:link w:val="6"/>
    <w:qFormat/>
    <w:uiPriority w:val="0"/>
    <w:rPr>
      <w:rFonts w:ascii="Times New Roman" w:hAnsi="Times New Roman" w:eastAsia="楷体_GB2312" w:cs="Times New Roman"/>
      <w:kern w:val="28"/>
      <w:sz w:val="18"/>
      <w:szCs w:val="20"/>
    </w:rPr>
  </w:style>
  <w:style w:type="paragraph" w:customStyle="1" w:styleId="20">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kern w:val="0"/>
    </w:rPr>
  </w:style>
  <w:style w:type="paragraph" w:customStyle="1" w:styleId="21">
    <w:name w:val="Char1 Char Char Char Char Char Char Char Char Char Char Char Char Char Char Char Char Char Char Char Char Char Char Char"/>
    <w:basedOn w:val="1"/>
    <w:qFormat/>
    <w:uiPriority w:val="0"/>
    <w:pPr>
      <w:widowControl/>
      <w:spacing w:after="160" w:line="240" w:lineRule="exact"/>
      <w:ind w:firstLine="0" w:firstLineChars="0"/>
      <w:jc w:val="left"/>
    </w:pPr>
    <w:rPr>
      <w:rFonts w:ascii="Verdana" w:hAnsi="Verdana"/>
      <w:kern w:val="0"/>
      <w:sz w:val="20"/>
      <w:lang w:eastAsia="en-US"/>
    </w:rPr>
  </w:style>
  <w:style w:type="paragraph" w:customStyle="1" w:styleId="22">
    <w:name w:val="p0"/>
    <w:basedOn w:val="1"/>
    <w:qFormat/>
    <w:uiPriority w:val="0"/>
    <w:pPr>
      <w:widowControl/>
      <w:spacing w:line="240" w:lineRule="auto"/>
      <w:ind w:firstLine="0" w:firstLineChars="0"/>
    </w:pPr>
    <w:rPr>
      <w:rFonts w:ascii="宋体" w:hAnsi="宋体" w:cs="宋体"/>
      <w:b/>
      <w:bCs/>
      <w:kern w:val="0"/>
      <w:szCs w:val="24"/>
    </w:rPr>
  </w:style>
  <w:style w:type="character" w:customStyle="1" w:styleId="23">
    <w:name w:val="批注框文本 Char"/>
    <w:basedOn w:val="9"/>
    <w:link w:val="5"/>
    <w:semiHidden/>
    <w:qFormat/>
    <w:uiPriority w:val="99"/>
    <w:rPr>
      <w:rFonts w:ascii="Times New Roman" w:hAnsi="Times New Roman"/>
      <w:kern w:val="28"/>
      <w:sz w:val="18"/>
      <w:szCs w:val="18"/>
    </w:rPr>
  </w:style>
  <w:style w:type="character" w:customStyle="1" w:styleId="24">
    <w:name w:val="HTML 预设格式 Char"/>
    <w:basedOn w:val="9"/>
    <w:link w:val="8"/>
    <w:qFormat/>
    <w:uiPriority w:val="99"/>
    <w:rPr>
      <w:rFonts w:ascii="宋体" w:hAnsi="宋体" w:cs="宋体"/>
      <w:sz w:val="24"/>
      <w:szCs w:val="24"/>
    </w:rPr>
  </w:style>
  <w:style w:type="paragraph" w:customStyle="1" w:styleId="25">
    <w:name w:val="列出段落1"/>
    <w:basedOn w:val="1"/>
    <w:qFormat/>
    <w:uiPriority w:val="34"/>
    <w:pPr>
      <w:ind w:firstLine="420"/>
    </w:pPr>
  </w:style>
  <w:style w:type="paragraph" w:customStyle="1" w:styleId="26">
    <w:name w:val="列出段落2"/>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7FBF2-7D99-4ADE-89B5-24D1CBFC923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111</Words>
  <Characters>637</Characters>
  <Lines>5</Lines>
  <Paragraphs>1</Paragraphs>
  <ScaleCrop>false</ScaleCrop>
  <LinksUpToDate>false</LinksUpToDate>
  <CharactersWithSpaces>747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实用新型专利</cp:category>
  <dcterms:created xsi:type="dcterms:W3CDTF">2014-12-13T15:56:00Z</dcterms:created>
  <dc:creator>无良灬少年</dc:creator>
  <cp:lastModifiedBy>Administrator</cp:lastModifiedBy>
  <dcterms:modified xsi:type="dcterms:W3CDTF">2017-12-21T12:45:09Z</dcterms:modified>
  <dc:title>实用新型专利</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