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0"/>
          <w:szCs w:val="30"/>
        </w:rPr>
      </w:pPr>
      <w:r>
        <w:rPr>
          <w:rFonts w:hint="eastAsia"/>
          <w:b/>
          <w:sz w:val="30"/>
          <w:szCs w:val="30"/>
        </w:rPr>
        <w:t xml:space="preserve">意见陈述书附页                    </w:t>
      </w:r>
    </w:p>
    <w:p>
      <w:pPr>
        <w:jc w:val="right"/>
        <w:rPr>
          <w:rFonts w:hint="default" w:eastAsia="宋体"/>
          <w:b/>
          <w:lang w:val="en-US" w:eastAsia="zh-CN"/>
        </w:rPr>
      </w:pPr>
      <w:r>
        <w:rPr>
          <w:rFonts w:hint="eastAsia"/>
          <w:b/>
          <w:sz w:val="30"/>
          <w:szCs w:val="30"/>
        </w:rPr>
        <w:t>申请号：2017</w:t>
      </w:r>
      <w:r>
        <w:rPr>
          <w:rFonts w:hint="eastAsia"/>
          <w:b/>
          <w:sz w:val="30"/>
          <w:szCs w:val="30"/>
          <w:lang w:val="en-US" w:eastAsia="zh-CN"/>
        </w:rPr>
        <w:t>10670869.0</w:t>
      </w:r>
    </w:p>
    <w:p>
      <w:pPr>
        <w:jc w:val="center"/>
        <w:rPr>
          <w:b/>
        </w:rPr>
      </w:pPr>
    </w:p>
    <w:p>
      <w:pPr>
        <w:spacing w:line="360" w:lineRule="auto"/>
        <w:rPr>
          <w:rFonts w:ascii="宋体" w:hAnsi="宋体" w:cs="宋体"/>
          <w:b/>
          <w:sz w:val="28"/>
          <w:szCs w:val="28"/>
        </w:rPr>
      </w:pPr>
      <w:r>
        <w:rPr>
          <w:rFonts w:hint="eastAsia" w:ascii="宋体" w:hAnsi="宋体" w:cs="宋体"/>
          <w:b/>
          <w:bCs/>
          <w:sz w:val="28"/>
          <w:szCs w:val="28"/>
        </w:rPr>
        <w:t>尊敬的审查员：</w:t>
      </w:r>
    </w:p>
    <w:p>
      <w:pPr>
        <w:ind w:firstLine="560" w:firstLineChars="200"/>
        <w:rPr>
          <w:sz w:val="28"/>
          <w:szCs w:val="28"/>
        </w:rPr>
      </w:pPr>
      <w:r>
        <w:rPr>
          <w:rFonts w:hint="eastAsia"/>
          <w:sz w:val="28"/>
          <w:szCs w:val="28"/>
        </w:rPr>
        <w:t>本意见陈述针对国家知识产权局于2020年03月19日发出的关于《利用生物絮团技术提高大黄鱼育苗效果的方法</w:t>
      </w:r>
      <w:r>
        <w:rPr>
          <w:rFonts w:hint="eastAsia"/>
          <w:sz w:val="28"/>
          <w:szCs w:val="28"/>
        </w:rPr>
        <w:t>》的第一次审查意见通知书，对于审查员的意见，申请人进行了认真的研读，并做出以下修改和意见陈述。</w:t>
      </w:r>
    </w:p>
    <w:p>
      <w:pPr>
        <w:spacing w:line="360" w:lineRule="auto"/>
        <w:ind w:firstLine="540" w:firstLineChars="192"/>
        <w:rPr>
          <w:b/>
          <w:bCs/>
          <w:sz w:val="28"/>
          <w:szCs w:val="28"/>
        </w:rPr>
      </w:pPr>
      <w:r>
        <w:rPr>
          <w:rFonts w:hint="eastAsia"/>
          <w:b/>
          <w:bCs/>
          <w:sz w:val="28"/>
          <w:szCs w:val="28"/>
        </w:rPr>
        <w:t>一、</w:t>
      </w:r>
      <w:r>
        <w:rPr>
          <w:b/>
          <w:bCs/>
          <w:sz w:val="28"/>
          <w:szCs w:val="28"/>
        </w:rPr>
        <w:t>修改说明：</w:t>
      </w:r>
    </w:p>
    <w:p>
      <w:pPr>
        <w:tabs>
          <w:tab w:val="left" w:pos="720"/>
        </w:tabs>
        <w:spacing w:line="360" w:lineRule="auto"/>
        <w:ind w:firstLine="562" w:firstLineChars="200"/>
        <w:rPr>
          <w:b/>
          <w:bCs/>
          <w:sz w:val="28"/>
          <w:szCs w:val="28"/>
        </w:rPr>
      </w:pPr>
      <w:r>
        <w:rPr>
          <w:rFonts w:hint="eastAsia"/>
          <w:b/>
          <w:bCs/>
          <w:sz w:val="28"/>
          <w:szCs w:val="28"/>
        </w:rPr>
        <w:t>1、将权利要求1和</w:t>
      </w:r>
      <w:r>
        <w:rPr>
          <w:rFonts w:hint="eastAsia"/>
          <w:b/>
          <w:bCs/>
          <w:sz w:val="28"/>
          <w:szCs w:val="28"/>
          <w:lang w:val="en-US" w:eastAsia="zh-CN"/>
        </w:rPr>
        <w:t>5</w:t>
      </w:r>
      <w:r>
        <w:rPr>
          <w:rFonts w:hint="eastAsia"/>
          <w:b/>
          <w:bCs/>
          <w:sz w:val="28"/>
          <w:szCs w:val="28"/>
        </w:rPr>
        <w:t>合并成新权利要求1；</w:t>
      </w:r>
    </w:p>
    <w:p>
      <w:pPr>
        <w:tabs>
          <w:tab w:val="left" w:pos="720"/>
        </w:tabs>
        <w:spacing w:line="360" w:lineRule="auto"/>
        <w:ind w:firstLine="562" w:firstLineChars="200"/>
        <w:rPr>
          <w:b/>
          <w:bCs/>
          <w:sz w:val="28"/>
          <w:szCs w:val="28"/>
        </w:rPr>
      </w:pPr>
      <w:r>
        <w:rPr>
          <w:rFonts w:hint="eastAsia"/>
          <w:b/>
          <w:bCs/>
          <w:sz w:val="28"/>
          <w:szCs w:val="28"/>
        </w:rPr>
        <w:t>2、将权利要求</w:t>
      </w:r>
      <w:r>
        <w:rPr>
          <w:rFonts w:hint="eastAsia"/>
          <w:b/>
          <w:bCs/>
          <w:sz w:val="28"/>
          <w:szCs w:val="28"/>
          <w:lang w:val="en-US" w:eastAsia="zh-CN"/>
        </w:rPr>
        <w:t>6</w:t>
      </w:r>
      <w:r>
        <w:rPr>
          <w:rFonts w:hint="eastAsia"/>
          <w:b/>
          <w:bCs/>
          <w:sz w:val="28"/>
          <w:szCs w:val="28"/>
        </w:rPr>
        <w:t>和</w:t>
      </w:r>
      <w:r>
        <w:rPr>
          <w:rFonts w:hint="eastAsia"/>
          <w:b/>
          <w:bCs/>
          <w:sz w:val="28"/>
          <w:szCs w:val="28"/>
          <w:lang w:val="en-US" w:eastAsia="zh-CN"/>
        </w:rPr>
        <w:t>7</w:t>
      </w:r>
      <w:r>
        <w:rPr>
          <w:rFonts w:hint="eastAsia"/>
          <w:b/>
          <w:bCs/>
          <w:sz w:val="28"/>
          <w:szCs w:val="28"/>
        </w:rPr>
        <w:t>依次变成权利要求</w:t>
      </w:r>
      <w:r>
        <w:rPr>
          <w:rFonts w:hint="eastAsia"/>
          <w:b/>
          <w:bCs/>
          <w:sz w:val="28"/>
          <w:szCs w:val="28"/>
          <w:lang w:val="en-US" w:eastAsia="zh-CN"/>
        </w:rPr>
        <w:t>5</w:t>
      </w:r>
      <w:r>
        <w:rPr>
          <w:rFonts w:hint="eastAsia"/>
          <w:b/>
          <w:bCs/>
          <w:sz w:val="28"/>
          <w:szCs w:val="28"/>
        </w:rPr>
        <w:t>和</w:t>
      </w:r>
      <w:r>
        <w:rPr>
          <w:rFonts w:hint="eastAsia"/>
          <w:b/>
          <w:bCs/>
          <w:sz w:val="28"/>
          <w:szCs w:val="28"/>
          <w:lang w:val="en-US" w:eastAsia="zh-CN"/>
        </w:rPr>
        <w:t>6</w:t>
      </w:r>
      <w:r>
        <w:rPr>
          <w:rFonts w:hint="eastAsia"/>
          <w:b/>
          <w:bCs/>
          <w:sz w:val="28"/>
          <w:szCs w:val="28"/>
        </w:rPr>
        <w:t>。</w:t>
      </w:r>
    </w:p>
    <w:p>
      <w:pPr>
        <w:spacing w:line="360" w:lineRule="auto"/>
        <w:ind w:firstLine="560" w:firstLineChars="200"/>
        <w:rPr>
          <w:rFonts w:ascii="宋体" w:hAnsi="宋体" w:cs="宋体"/>
          <w:sz w:val="28"/>
          <w:szCs w:val="28"/>
        </w:rPr>
      </w:pPr>
      <w:r>
        <w:rPr>
          <w:sz w:val="28"/>
          <w:szCs w:val="28"/>
        </w:rPr>
        <w:t>以上修改均未超出原说明书和原权利要求书所记载的范围，符合专利法第三十三条的规定，且上述修改也是针对审查意见通知书所指出的缺陷进行修改，符合专利法实施细则第五十一条三款规定。</w:t>
      </w:r>
    </w:p>
    <w:p>
      <w:pPr>
        <w:spacing w:line="360" w:lineRule="auto"/>
        <w:ind w:firstLine="562" w:firstLineChars="200"/>
        <w:rPr>
          <w:rFonts w:hint="eastAsia" w:ascii="Times New Roman" w:hAnsi="Times New Roman" w:cs="宋体"/>
          <w:b/>
          <w:bCs/>
          <w:sz w:val="28"/>
          <w:szCs w:val="28"/>
        </w:rPr>
      </w:pPr>
    </w:p>
    <w:p>
      <w:pPr>
        <w:spacing w:line="360" w:lineRule="auto"/>
        <w:ind w:firstLine="562" w:firstLineChars="200"/>
        <w:rPr>
          <w:rFonts w:ascii="Times New Roman" w:hAnsi="Times New Roman" w:cs="宋体"/>
          <w:sz w:val="28"/>
          <w:szCs w:val="28"/>
        </w:rPr>
      </w:pPr>
      <w:r>
        <w:rPr>
          <w:rFonts w:hint="eastAsia" w:ascii="Times New Roman" w:hAnsi="Times New Roman" w:cs="宋体"/>
          <w:b/>
          <w:bCs/>
          <w:sz w:val="28"/>
          <w:szCs w:val="28"/>
        </w:rPr>
        <w:t>二、意见陈述：</w:t>
      </w:r>
    </w:p>
    <w:p>
      <w:pPr>
        <w:spacing w:line="360" w:lineRule="auto"/>
        <w:ind w:firstLine="435"/>
        <w:rPr>
          <w:rFonts w:ascii="Times New Roman" w:hAnsi="Times New Roman" w:cs="宋体"/>
          <w:sz w:val="28"/>
          <w:szCs w:val="28"/>
        </w:rPr>
      </w:pPr>
      <w:r>
        <w:rPr>
          <w:rFonts w:hint="eastAsia" w:ascii="Times New Roman" w:hAnsi="Times New Roman" w:cs="宋体"/>
          <w:sz w:val="28"/>
          <w:szCs w:val="28"/>
        </w:rPr>
        <w:t>1、修改后的权利要求</w:t>
      </w:r>
      <w:r>
        <w:rPr>
          <w:rFonts w:ascii="Times New Roman" w:hAnsi="Times New Roman" w:cs="Times New Roman"/>
          <w:sz w:val="28"/>
          <w:szCs w:val="28"/>
        </w:rPr>
        <w:t>1</w:t>
      </w:r>
      <w:r>
        <w:rPr>
          <w:rFonts w:hint="eastAsia" w:ascii="Times New Roman" w:hAnsi="Times New Roman" w:cs="宋体"/>
          <w:sz w:val="28"/>
          <w:szCs w:val="28"/>
        </w:rPr>
        <w:t>具备专利法第二十二条第三款规定的创造性，与对比文件</w:t>
      </w:r>
      <w:r>
        <w:rPr>
          <w:rFonts w:ascii="Times New Roman" w:hAnsi="Times New Roman" w:cs="Times New Roman"/>
          <w:sz w:val="28"/>
          <w:szCs w:val="28"/>
        </w:rPr>
        <w:t>1</w:t>
      </w:r>
      <w:r>
        <w:rPr>
          <w:rFonts w:hint="eastAsia" w:ascii="Times New Roman" w:hAnsi="Times New Roman" w:cs="宋体"/>
          <w:sz w:val="28"/>
          <w:szCs w:val="28"/>
        </w:rPr>
        <w:t>的区别技术特征在于：1）</w:t>
      </w:r>
      <w:r>
        <w:rPr>
          <w:rFonts w:hint="eastAsia" w:ascii="Times New Roman" w:hAnsi="Times New Roman" w:cs="宋体"/>
          <w:sz w:val="28"/>
          <w:szCs w:val="28"/>
          <w:lang w:eastAsia="zh-CN"/>
        </w:rPr>
        <w:t>本申请针对的是大黄鱼进行育苗</w:t>
      </w:r>
      <w:r>
        <w:rPr>
          <w:rFonts w:hint="eastAsia" w:ascii="Times New Roman" w:hAnsi="Times New Roman" w:cs="宋体"/>
          <w:sz w:val="28"/>
          <w:szCs w:val="28"/>
        </w:rPr>
        <w:t>；2）</w:t>
      </w:r>
      <w:r>
        <w:rPr>
          <w:rFonts w:hint="eastAsia" w:ascii="Times New Roman" w:hAnsi="Times New Roman" w:cs="宋体"/>
          <w:sz w:val="28"/>
          <w:szCs w:val="28"/>
          <w:lang w:eastAsia="zh-CN"/>
        </w:rPr>
        <w:t>育苗的具体过程不同</w:t>
      </w:r>
      <w:r>
        <w:rPr>
          <w:rFonts w:hint="eastAsia" w:ascii="Times New Roman" w:hAnsi="Times New Roman" w:cs="宋体"/>
          <w:sz w:val="28"/>
          <w:szCs w:val="28"/>
        </w:rPr>
        <w:t>。</w:t>
      </w:r>
    </w:p>
    <w:p>
      <w:pPr>
        <w:ind w:firstLine="560" w:firstLineChars="200"/>
        <w:rPr>
          <w:rFonts w:ascii="Times New Roman" w:hAnsi="Times New Roman" w:cs="宋体"/>
          <w:sz w:val="28"/>
          <w:szCs w:val="28"/>
        </w:rPr>
      </w:pPr>
      <w:r>
        <w:rPr>
          <w:rFonts w:hint="eastAsia" w:ascii="Times New Roman" w:hAnsi="Times New Roman" w:cs="宋体"/>
          <w:sz w:val="28"/>
          <w:szCs w:val="28"/>
        </w:rPr>
        <w:t>首先，本申请实际要解决的技术问题为：</w:t>
      </w:r>
      <w:r>
        <w:rPr>
          <w:rFonts w:hint="eastAsia" w:ascii="Times New Roman" w:hAnsi="Times New Roman" w:cs="宋体"/>
          <w:sz w:val="28"/>
          <w:szCs w:val="28"/>
          <w:lang w:eastAsia="zh-CN"/>
        </w:rPr>
        <w:t>针对现有大黄鱼育苗方法存在的水量消耗大、存在污染、苗种药残超标等问题，</w:t>
      </w:r>
      <w:r>
        <w:rPr>
          <w:rFonts w:hint="eastAsia" w:ascii="Times New Roman" w:hAnsi="Times New Roman" w:cs="宋体"/>
          <w:sz w:val="28"/>
          <w:szCs w:val="28"/>
        </w:rPr>
        <w:t>提供一种</w:t>
      </w:r>
      <w:r>
        <w:rPr>
          <w:rFonts w:hint="eastAsia" w:ascii="Times New Roman" w:hAnsi="Times New Roman" w:cs="宋体"/>
          <w:sz w:val="28"/>
          <w:szCs w:val="28"/>
          <w:lang w:eastAsia="zh-CN"/>
        </w:rPr>
        <w:t>育苗效果佳、可抑制细菌性疾病的绿色环保的大黄鱼育苗方法</w:t>
      </w:r>
      <w:r>
        <w:rPr>
          <w:rFonts w:hint="eastAsia" w:ascii="Times New Roman" w:hAnsi="Times New Roman" w:cs="宋体"/>
          <w:sz w:val="28"/>
          <w:szCs w:val="28"/>
        </w:rPr>
        <w:t>。</w:t>
      </w:r>
    </w:p>
    <w:p>
      <w:pPr>
        <w:ind w:firstLine="560" w:firstLineChars="200"/>
        <w:rPr>
          <w:rFonts w:hint="eastAsia" w:ascii="楷体_GB2312"/>
          <w:sz w:val="28"/>
          <w:szCs w:val="28"/>
        </w:rPr>
      </w:pPr>
      <w:r>
        <w:rPr>
          <w:rFonts w:hint="eastAsia" w:ascii="Times New Roman" w:hAnsi="Times New Roman" w:cs="宋体"/>
          <w:sz w:val="28"/>
          <w:szCs w:val="28"/>
        </w:rPr>
        <w:t>其次，针对上述区别技术特征，本申请</w:t>
      </w:r>
      <w:r>
        <w:rPr>
          <w:rFonts w:hint="eastAsia" w:ascii="Times New Roman" w:hAnsi="Times New Roman" w:cs="宋体"/>
          <w:sz w:val="28"/>
          <w:szCs w:val="28"/>
          <w:lang w:eastAsia="zh-CN"/>
        </w:rPr>
        <w:t>的技术方案为：</w:t>
      </w:r>
      <w:r>
        <w:rPr>
          <w:rFonts w:hint="eastAsia" w:ascii="楷体_GB2312"/>
          <w:sz w:val="28"/>
          <w:szCs w:val="28"/>
        </w:rPr>
        <w:t>（1）将孵化出的大黄鱼苗培育至20日龄；（2）将细黄土放入筛绢袋中，扎紧袋口，用海水反复搓洗，直至将细黄土中的小粒径颗粒全部洗入海水中，保留海水洗液，每日在育苗池中投喂饲料后加入海水洗液，调节育苗池水透明度至10cm深；（3）投加经活化过的芽孢杆菌和光合细菌以及生物絮团培养液，其中所投加的经活化过的芽孢杆菌和光合细菌的菌液浓度达到100亿个/ml，投加量为每吨育苗水体中含芽孢杆菌菌液20</w:t>
      </w:r>
      <w:r>
        <w:rPr>
          <w:rFonts w:hint="eastAsia" w:ascii="楷体_GB2312" w:hAnsi="宋体"/>
          <w:sz w:val="28"/>
          <w:szCs w:val="28"/>
        </w:rPr>
        <w:t>～</w:t>
      </w:r>
      <w:r>
        <w:rPr>
          <w:rFonts w:hint="eastAsia" w:ascii="楷体_GB2312"/>
          <w:sz w:val="28"/>
          <w:szCs w:val="28"/>
        </w:rPr>
        <w:t>30ml，光合细菌菌液40</w:t>
      </w:r>
      <w:r>
        <w:rPr>
          <w:rFonts w:hint="eastAsia" w:ascii="楷体_GB2312" w:hAnsi="宋体"/>
          <w:sz w:val="28"/>
          <w:szCs w:val="28"/>
        </w:rPr>
        <w:t>～</w:t>
      </w:r>
      <w:r>
        <w:rPr>
          <w:rFonts w:hint="eastAsia" w:ascii="楷体_GB2312"/>
          <w:sz w:val="28"/>
          <w:szCs w:val="28"/>
        </w:rPr>
        <w:t>60ml，并且20</w:t>
      </w:r>
      <w:r>
        <w:rPr>
          <w:rFonts w:hint="eastAsia" w:ascii="楷体_GB2312" w:hAnsi="宋体"/>
          <w:sz w:val="28"/>
          <w:szCs w:val="28"/>
        </w:rPr>
        <w:t>～</w:t>
      </w:r>
      <w:r>
        <w:rPr>
          <w:rFonts w:hint="eastAsia" w:ascii="楷体_GB2312"/>
          <w:sz w:val="28"/>
          <w:szCs w:val="28"/>
        </w:rPr>
        <w:t>30日龄的大黄鱼苗每5天添加1次芽孢杆菌和光合细菌菌液，大于30</w:t>
      </w:r>
      <w:r>
        <w:rPr>
          <w:rFonts w:hint="eastAsia" w:ascii="楷体_GB2312" w:hAnsi="宋体"/>
          <w:sz w:val="28"/>
          <w:szCs w:val="28"/>
        </w:rPr>
        <w:t>且不超过45</w:t>
      </w:r>
      <w:r>
        <w:rPr>
          <w:rFonts w:hint="eastAsia" w:ascii="楷体_GB2312"/>
          <w:sz w:val="28"/>
          <w:szCs w:val="28"/>
        </w:rPr>
        <w:t>日龄的大黄鱼苗每4天添加1次芽孢杆菌和光合细菌菌液，超过45日龄的大黄鱼苗每3天添加1次芽孢杆菌和光合细菌菌液；生物絮团培养液每日投放，并且生物絮团培养液的日投放量与饲料日投喂量的质量比为0.8:1，当生物絮团培养液在育苗池中的浓度超过20ml/L时，通过以等体积水替换生物絮团培养液来降低生物絮团培养液的浓度至10</w:t>
      </w:r>
      <w:r>
        <w:rPr>
          <w:rFonts w:hint="eastAsia" w:ascii="楷体_GB2312" w:hAnsi="宋体"/>
          <w:sz w:val="28"/>
          <w:szCs w:val="28"/>
        </w:rPr>
        <w:t>～</w:t>
      </w:r>
      <w:r>
        <w:rPr>
          <w:rFonts w:hint="eastAsia" w:ascii="楷体_GB2312"/>
          <w:sz w:val="28"/>
          <w:szCs w:val="28"/>
        </w:rPr>
        <w:t>25ml/L；所述芽孢杆菌的活化方法为：每10g芽孢杆菌加1L芽孢杆菌培养液，在温度为25</w:t>
      </w:r>
      <w:r>
        <w:rPr>
          <w:rFonts w:hint="eastAsia" w:ascii="楷体_GB2312" w:hAnsi="宋体"/>
          <w:sz w:val="28"/>
          <w:szCs w:val="28"/>
        </w:rPr>
        <w:t>～30</w:t>
      </w:r>
      <w:r>
        <w:rPr>
          <w:rFonts w:hint="eastAsia" w:ascii="宋体" w:hAnsi="宋体"/>
          <w:sz w:val="28"/>
          <w:szCs w:val="28"/>
        </w:rPr>
        <w:t>℃</w:t>
      </w:r>
      <w:r>
        <w:rPr>
          <w:rFonts w:hint="eastAsia" w:ascii="楷体_GB2312" w:hAnsi="楷体_GB2312" w:cs="楷体_GB2312"/>
          <w:sz w:val="28"/>
          <w:szCs w:val="28"/>
        </w:rPr>
        <w:t>情况下充分曝气培养24h，其中所述芽孢杆菌培养液</w:t>
      </w:r>
      <w:r>
        <w:rPr>
          <w:rFonts w:hint="eastAsia" w:ascii="楷体_GB2312"/>
          <w:sz w:val="28"/>
          <w:szCs w:val="28"/>
        </w:rPr>
        <w:t>按照质量百分比的配方为：葡萄糖0.5%、淀粉1.0%、黄豆粕3.0%、硫酸锰0.2%、磷酸氢二钾0.3%、硫酸镁0.2%、碳酸钙0.7%、硫酸铵0.1%，余量为纯净水</w:t>
      </w:r>
      <w:r>
        <w:rPr>
          <w:rFonts w:hint="eastAsia" w:ascii="楷体_GB2312"/>
          <w:sz w:val="28"/>
          <w:szCs w:val="28"/>
          <w:lang w:eastAsia="zh-CN"/>
        </w:rPr>
        <w:t>；</w:t>
      </w:r>
      <w:r>
        <w:rPr>
          <w:rFonts w:hint="eastAsia" w:ascii="楷体_GB2312"/>
          <w:sz w:val="28"/>
          <w:szCs w:val="28"/>
        </w:rPr>
        <w:t>（4）保持育苗池内温度为24～26℃，并每日对育苗池池底吸污一次，补充吸污损失的水</w:t>
      </w:r>
      <w:r>
        <w:rPr>
          <w:rFonts w:hint="eastAsia" w:ascii="楷体_GB2312"/>
          <w:sz w:val="28"/>
          <w:szCs w:val="28"/>
          <w:lang w:eastAsia="zh-CN"/>
        </w:rPr>
        <w:t>。对比文件</w:t>
      </w:r>
      <w:r>
        <w:rPr>
          <w:rFonts w:hint="eastAsia" w:ascii="楷体_GB2312"/>
          <w:sz w:val="28"/>
          <w:szCs w:val="28"/>
          <w:lang w:val="en-US" w:eastAsia="zh-CN"/>
        </w:rPr>
        <w:t>1的技术方案为：</w:t>
      </w:r>
      <w:r>
        <w:rPr>
          <w:rFonts w:hint="eastAsia" w:ascii="楷体_GB2312"/>
          <w:sz w:val="28"/>
          <w:szCs w:val="28"/>
        </w:rPr>
        <w:t>(一)培育生物絮团</w:t>
      </w:r>
      <w:r>
        <w:rPr>
          <w:rFonts w:hint="eastAsia" w:ascii="楷体_GB2312"/>
          <w:sz w:val="28"/>
          <w:szCs w:val="28"/>
          <w:lang w:eastAsia="zh-CN"/>
        </w:rPr>
        <w:t>：</w:t>
      </w:r>
      <w:r>
        <w:rPr>
          <w:rFonts w:hint="eastAsia" w:ascii="楷体_GB2312"/>
          <w:sz w:val="28"/>
          <w:szCs w:val="28"/>
        </w:rPr>
        <w:t>(1)抽取养殖水到培养单元中；(2)外加碳源和/或氮源到培养单元中，使水体中碳的总含量为5.5～45mg/L，氮的总含 量为0.55～2.25mg/L；碳氮比为10～20:1；(3)生物絮团培养过程中，培养单元内水体要充分曝气，水体溶解氧维持在5.5～ 8.5mg/L,pH值维持在6～8,温度维持在20℃以上；(4)当培养单元内水体总固体悬浮物TSS达到100mg/L～500mg/L时，准备待用；(二)苗种一级强化</w:t>
      </w:r>
      <w:r>
        <w:rPr>
          <w:rFonts w:hint="eastAsia" w:ascii="楷体_GB2312"/>
          <w:sz w:val="28"/>
          <w:szCs w:val="28"/>
          <w:lang w:eastAsia="zh-CN"/>
        </w:rPr>
        <w:t>：</w:t>
      </w:r>
      <w:r>
        <w:rPr>
          <w:rFonts w:hint="eastAsia" w:ascii="楷体_GB2312"/>
          <w:sz w:val="28"/>
          <w:szCs w:val="28"/>
        </w:rPr>
        <w:t>将1cm以上的的舌鳎鱼苗种移入所述步骤(一)已培育好生物絮团的培养单元中进行一 级强化，强化过程中，继续投放碳源，培育至体长2cm左右；培养单元的水中总固体悬浮物 100～200mg/L；每天按照投喂饲料重量的10-20％添加碳源；(三)苗种二级强化</w:t>
      </w:r>
      <w:r>
        <w:rPr>
          <w:rFonts w:hint="eastAsia" w:ascii="楷体_GB2312"/>
          <w:sz w:val="28"/>
          <w:szCs w:val="28"/>
          <w:lang w:eastAsia="zh-CN"/>
        </w:rPr>
        <w:t>：</w:t>
      </w:r>
      <w:r>
        <w:rPr>
          <w:rFonts w:hint="eastAsia" w:ascii="楷体_GB2312"/>
          <w:sz w:val="28"/>
          <w:szCs w:val="28"/>
        </w:rPr>
        <w:t>将培育至体长2cm左右的苗种进行二级强化；强化过程中，继续投放碳源和氮源，培育至体长3cm左右；培养单元的水中总固体悬浮物250～500mg/L；每天按照投喂饲料重量的10-20％添加碳源和重量的1-2％的氮源。</w:t>
      </w:r>
    </w:p>
    <w:p>
      <w:pPr>
        <w:ind w:firstLine="560" w:firstLineChars="200"/>
        <w:rPr>
          <w:rFonts w:hint="default" w:ascii="楷体_GB2312"/>
          <w:sz w:val="28"/>
          <w:szCs w:val="28"/>
          <w:lang w:val="en-US" w:eastAsia="zh-CN"/>
        </w:rPr>
      </w:pPr>
      <w:r>
        <w:rPr>
          <w:rFonts w:hint="eastAsia" w:ascii="楷体_GB2312"/>
          <w:sz w:val="28"/>
          <w:szCs w:val="28"/>
          <w:lang w:eastAsia="zh-CN"/>
        </w:rPr>
        <w:t>本申请和对比文件</w:t>
      </w:r>
      <w:r>
        <w:rPr>
          <w:rFonts w:hint="eastAsia" w:ascii="楷体_GB2312"/>
          <w:sz w:val="28"/>
          <w:szCs w:val="28"/>
          <w:lang w:val="en-US" w:eastAsia="zh-CN"/>
        </w:rPr>
        <w:t>1的技术方案具有以下区别：其一，本申请限定采用黄土颗粒来调节育苗池水的透明度，一方面是为了促进大黄鱼摄食，另一方面大黄土对于育苗池中絮状菌团的形成具有积极作用，是为了下一步采用芽孢杆菌和光合细菌育苗做准备。而对比文件1只公开了抽取沙滤海水到培育池中来调整总固体悬浮物浓度，以及促进微生物的生长，这是目前比较常规的一种操作方法，对比文件1并未公开采用大黄土或是给出相关技术启示，而在鱼类育苗过程中加入黄土也不属于本领域的常规操作。其二，本申请在育苗过程中还加入了经活化的芽孢杆菌和光合细菌，并公开了芽孢杆菌的活化方法，以及芽孢杆菌和光合细菌菌液的具体加入方式，目的是通过芽孢杆菌处理养殖水环境，降低水体中的氮磷，提升养殖水体的溶解氧，保持稳定的酸碱度；光合细菌的菌体蛋白中还富含免疫因子，提高鱼苗抵抗力，由于异养细菌的大量培养，可以起到生态位挤占的作用，对于育苗后期容易发生的细菌性疾病有较好的抑制作用，提高育苗成活率</w:t>
      </w:r>
      <w:r>
        <w:rPr>
          <w:rFonts w:hint="eastAsia" w:ascii="楷体_GB2312"/>
          <w:sz w:val="28"/>
          <w:szCs w:val="28"/>
          <w:lang w:val="en-US" w:eastAsia="zh-CN"/>
        </w:rPr>
        <w:t>。再结合生物絮团培养液，可将育苗过程中产生的排泄废物通过异养细菌转化为菌蛋白，菌蛋白中富含多种维生素，尤其是B族维生素极为丰富，VB2、叶酸、泛酸、生物素的含量也较高，同时还含有大量的类胡萝卜素、辅酶Q等生理活性物质等营养成分，可补充人工颗料饲料营养的不足。对比文件1并未公开该技术特征或给出相关技术启示。其三，本申请的技术思路为：采用黄图作为凝集核，而非普通的海沙，然后加入芽孢杆菌和光合细菌并控制两种菌液的详细投加方式，再结合生物絮团进行大黄鱼的育苗。对比文件1是直接采用生物絮团来改善水质进行半滑舌鳎鱼育苗，对比文件2是以硝化菌为基础，配合采用芽孢杆菌、光合细菌、乳酸菌进行水质处理，即便结合对比文件1和2，也无法获得本申请的技术方案，而本申请的技术方案也不属于本领域的常规方案，因此，本申请较比对比文件1和2具备突出的实质性特点。</w:t>
      </w:r>
    </w:p>
    <w:p>
      <w:pPr>
        <w:ind w:firstLine="560" w:firstLineChars="200"/>
        <w:rPr>
          <w:rFonts w:hint="default" w:ascii="楷体_GB2312"/>
          <w:sz w:val="28"/>
          <w:szCs w:val="28"/>
          <w:lang w:val="en-US" w:eastAsia="zh-CN"/>
        </w:rPr>
      </w:pPr>
      <w:r>
        <w:rPr>
          <w:rFonts w:hint="eastAsia" w:ascii="楷体_GB2312"/>
          <w:sz w:val="28"/>
          <w:szCs w:val="28"/>
          <w:lang w:val="en-US" w:eastAsia="zh-CN"/>
        </w:rPr>
        <w:t>最后，本申请的技术效果参见具体实施例：采用本实施例的方法将大黄鱼育苗至50日龄，鱼苗可生长至4.5～5cm，成活率可达72.5%～80.7%，不需使用抗生素类药品。而这两个公司之前在同样的育苗池内以相同规模采用普通育苗技术对大黄鱼进行育苗，成活率最高只有60%～70%，每天需要100%甚至多次换水来保持育苗池水质，能量浪费很大。在育苗后期随着育苗密度增加，容易发生细菌性疾病，往往需要大量使用抗生素，造成食品安全问题。并且与大黄鱼常规育苗方法相比：全过程中少量换水，可使加温海水不因为排换而浪费，整体减少对外界的废物排放达55～70%，可节约燃料成本80%以上，抽水电力成本70%以上，并减少了吸污、换水和锅炉升温的人工成本40%以上，育苗成活率提升17～23%，整个育苗过程中不使用抗生素。因此，本申请较比现有技术具有显著进步。</w:t>
      </w:r>
    </w:p>
    <w:p>
      <w:pPr>
        <w:ind w:firstLine="560" w:firstLineChars="200"/>
        <w:rPr>
          <w:rFonts w:ascii="Times New Roman" w:hAnsi="Times New Roman" w:cs="Times New Roman"/>
          <w:sz w:val="28"/>
          <w:szCs w:val="28"/>
        </w:rPr>
      </w:pPr>
      <w:r>
        <w:rPr>
          <w:rFonts w:hint="eastAsia" w:ascii="Times New Roman" w:hAnsi="Times New Roman" w:cs="宋体"/>
          <w:sz w:val="28"/>
          <w:szCs w:val="28"/>
        </w:rPr>
        <w:t>因此，权利要求1请求保护的技术方案较比对比文件1</w:t>
      </w:r>
      <w:r>
        <w:rPr>
          <w:rFonts w:hint="eastAsia" w:ascii="Times New Roman" w:hAnsi="Times New Roman" w:cs="宋体"/>
          <w:sz w:val="28"/>
          <w:szCs w:val="28"/>
          <w:lang w:eastAsia="zh-CN"/>
        </w:rPr>
        <w:t>和</w:t>
      </w:r>
      <w:r>
        <w:rPr>
          <w:rFonts w:hint="eastAsia" w:ascii="Times New Roman" w:hAnsi="Times New Roman" w:cs="宋体"/>
          <w:sz w:val="28"/>
          <w:szCs w:val="28"/>
          <w:lang w:val="en-US" w:eastAsia="zh-CN"/>
        </w:rPr>
        <w:t>2</w:t>
      </w:r>
      <w:r>
        <w:rPr>
          <w:rFonts w:hint="eastAsia" w:ascii="Times New Roman" w:hAnsi="Times New Roman" w:cs="宋体"/>
          <w:sz w:val="28"/>
          <w:szCs w:val="28"/>
        </w:rPr>
        <w:t>结合公知常识具有突出的实质性特点，并获得了显著的技术效果，具备专利法第二十二条第三款规定的创造性。</w:t>
      </w:r>
    </w:p>
    <w:p>
      <w:pPr>
        <w:numPr>
          <w:ilvl w:val="0"/>
          <w:numId w:val="1"/>
        </w:numPr>
        <w:spacing w:line="360" w:lineRule="auto"/>
        <w:ind w:firstLine="482"/>
        <w:rPr>
          <w:rFonts w:ascii="Times New Roman" w:hAnsi="Times New Roman" w:cs="宋体"/>
          <w:sz w:val="28"/>
          <w:szCs w:val="28"/>
        </w:rPr>
      </w:pPr>
      <w:r>
        <w:rPr>
          <w:rFonts w:hint="eastAsia" w:ascii="Times New Roman" w:hAnsi="Times New Roman" w:cs="宋体"/>
          <w:sz w:val="28"/>
          <w:szCs w:val="28"/>
        </w:rPr>
        <w:t>权利要求</w:t>
      </w:r>
      <w:r>
        <w:rPr>
          <w:rFonts w:ascii="Times New Roman" w:hAnsi="Times New Roman" w:cs="Times New Roman"/>
          <w:sz w:val="28"/>
          <w:szCs w:val="28"/>
        </w:rPr>
        <w:t>2</w:t>
      </w:r>
      <w:r>
        <w:rPr>
          <w:rFonts w:hint="eastAsia" w:ascii="Times New Roman" w:hAnsi="Times New Roman" w:cs="Times New Roman"/>
          <w:sz w:val="28"/>
          <w:szCs w:val="28"/>
        </w:rPr>
        <w:t>~</w:t>
      </w:r>
      <w:r>
        <w:rPr>
          <w:rFonts w:hint="eastAsia" w:ascii="Times New Roman" w:hAnsi="Times New Roman" w:cs="Times New Roman"/>
          <w:sz w:val="28"/>
          <w:szCs w:val="28"/>
          <w:lang w:val="en-US" w:eastAsia="zh-CN"/>
        </w:rPr>
        <w:t>6</w:t>
      </w:r>
      <w:r>
        <w:rPr>
          <w:rFonts w:hint="eastAsia" w:ascii="Times New Roman" w:hAnsi="Times New Roman" w:cs="宋体"/>
          <w:sz w:val="28"/>
          <w:szCs w:val="28"/>
        </w:rPr>
        <w:t>为权利要求</w:t>
      </w:r>
      <w:r>
        <w:rPr>
          <w:rFonts w:ascii="Times New Roman" w:hAnsi="Times New Roman" w:cs="Times New Roman"/>
          <w:sz w:val="28"/>
          <w:szCs w:val="28"/>
        </w:rPr>
        <w:t>1</w:t>
      </w:r>
      <w:r>
        <w:rPr>
          <w:rFonts w:hint="eastAsia" w:ascii="Times New Roman" w:hAnsi="Times New Roman" w:cs="宋体"/>
          <w:sz w:val="28"/>
          <w:szCs w:val="28"/>
        </w:rPr>
        <w:t>的从属权利要求，在权利要求</w:t>
      </w:r>
      <w:r>
        <w:rPr>
          <w:rFonts w:ascii="Times New Roman" w:hAnsi="Times New Roman" w:cs="Times New Roman"/>
          <w:sz w:val="28"/>
          <w:szCs w:val="28"/>
        </w:rPr>
        <w:t>1</w:t>
      </w:r>
      <w:r>
        <w:rPr>
          <w:rFonts w:hint="eastAsia" w:ascii="Times New Roman" w:hAnsi="Times New Roman" w:cs="宋体"/>
          <w:sz w:val="28"/>
          <w:szCs w:val="28"/>
        </w:rPr>
        <w:t>具备创造性的前提下，其从属权利要求也具备创造性，而权利要求</w:t>
      </w:r>
      <w:r>
        <w:rPr>
          <w:rFonts w:ascii="Times New Roman" w:hAnsi="Times New Roman" w:cs="Times New Roman"/>
          <w:sz w:val="28"/>
          <w:szCs w:val="28"/>
        </w:rPr>
        <w:t>1</w:t>
      </w:r>
      <w:r>
        <w:rPr>
          <w:rFonts w:hint="eastAsia" w:ascii="Times New Roman" w:hAnsi="Times New Roman" w:cs="宋体"/>
          <w:sz w:val="28"/>
          <w:szCs w:val="28"/>
        </w:rPr>
        <w:t>的创造性如前所述。</w:t>
      </w:r>
    </w:p>
    <w:p>
      <w:pPr>
        <w:spacing w:line="360" w:lineRule="auto"/>
        <w:ind w:firstLine="480"/>
        <w:rPr>
          <w:rFonts w:ascii="Times New Roman" w:hAnsi="Times New Roman" w:cs="Times New Roman"/>
          <w:color w:val="0000FF"/>
          <w:sz w:val="28"/>
          <w:szCs w:val="28"/>
        </w:rPr>
      </w:pPr>
      <w:r>
        <w:rPr>
          <w:rFonts w:hint="eastAsia" w:ascii="Times New Roman" w:hAnsi="Times New Roman" w:cs="宋体"/>
          <w:sz w:val="28"/>
          <w:szCs w:val="28"/>
        </w:rPr>
        <w:t>综上所述，本申请的权利要求</w:t>
      </w:r>
      <w:r>
        <w:rPr>
          <w:rFonts w:ascii="Times New Roman" w:hAnsi="Times New Roman" w:cs="Times New Roman"/>
          <w:sz w:val="28"/>
          <w:szCs w:val="28"/>
        </w:rPr>
        <w:t>1~</w:t>
      </w:r>
      <w:r>
        <w:rPr>
          <w:rFonts w:hint="eastAsia" w:ascii="Times New Roman" w:hAnsi="Times New Roman" w:cs="Times New Roman"/>
          <w:sz w:val="28"/>
          <w:szCs w:val="28"/>
          <w:lang w:val="en-US" w:eastAsia="zh-CN"/>
        </w:rPr>
        <w:t>6</w:t>
      </w:r>
      <w:r>
        <w:rPr>
          <w:rFonts w:hint="eastAsia" w:ascii="Times New Roman" w:hAnsi="Times New Roman" w:cs="宋体"/>
          <w:sz w:val="28"/>
          <w:szCs w:val="28"/>
        </w:rPr>
        <w:t>与对比文件</w:t>
      </w:r>
      <w:r>
        <w:rPr>
          <w:rFonts w:ascii="Times New Roman" w:hAnsi="Times New Roman" w:cs="Times New Roman"/>
          <w:sz w:val="28"/>
          <w:szCs w:val="28"/>
        </w:rPr>
        <w:t>1</w:t>
      </w:r>
      <w:r>
        <w:rPr>
          <w:rFonts w:hint="eastAsia" w:ascii="Times New Roman" w:hAnsi="Times New Roman" w:cs="Times New Roman"/>
          <w:sz w:val="28"/>
          <w:szCs w:val="28"/>
          <w:lang w:eastAsia="zh-CN"/>
        </w:rPr>
        <w:t>和</w:t>
      </w:r>
      <w:r>
        <w:rPr>
          <w:rFonts w:hint="eastAsia" w:ascii="Times New Roman" w:hAnsi="Times New Roman" w:cs="Times New Roman"/>
          <w:sz w:val="28"/>
          <w:szCs w:val="28"/>
          <w:lang w:val="en-US" w:eastAsia="zh-CN"/>
        </w:rPr>
        <w:t>2</w:t>
      </w:r>
      <w:r>
        <w:rPr>
          <w:rFonts w:hint="eastAsia" w:ascii="Times New Roman" w:hAnsi="Times New Roman" w:cs="宋体"/>
          <w:sz w:val="28"/>
          <w:szCs w:val="28"/>
        </w:rPr>
        <w:t>结合公知常识相比，是采用不同的方案进行的发明，且技术效果也有本质不同。对比文件</w:t>
      </w:r>
      <w:r>
        <w:rPr>
          <w:rFonts w:ascii="Times New Roman" w:hAnsi="Times New Roman" w:cs="Times New Roman"/>
          <w:sz w:val="28"/>
          <w:szCs w:val="28"/>
        </w:rPr>
        <w:t>1</w:t>
      </w:r>
      <w:r>
        <w:rPr>
          <w:rFonts w:hint="eastAsia" w:ascii="Times New Roman" w:hAnsi="Times New Roman" w:cs="宋体"/>
          <w:sz w:val="28"/>
          <w:szCs w:val="28"/>
        </w:rPr>
        <w:t>的技术方案不足以对本申请的方案构成显而易见的启示，也不能获得本申请的技术效果，本申请与对比文件</w:t>
      </w:r>
      <w:r>
        <w:rPr>
          <w:rFonts w:ascii="Times New Roman" w:hAnsi="Times New Roman" w:cs="Times New Roman"/>
          <w:sz w:val="28"/>
          <w:szCs w:val="28"/>
        </w:rPr>
        <w:t>1</w:t>
      </w:r>
      <w:r>
        <w:rPr>
          <w:rFonts w:hint="eastAsia" w:ascii="Times New Roman" w:hAnsi="Times New Roman" w:cs="Times New Roman"/>
          <w:sz w:val="28"/>
          <w:szCs w:val="28"/>
          <w:lang w:eastAsia="zh-CN"/>
        </w:rPr>
        <w:t>和</w:t>
      </w:r>
      <w:r>
        <w:rPr>
          <w:rFonts w:hint="eastAsia" w:ascii="Times New Roman" w:hAnsi="Times New Roman" w:cs="Times New Roman"/>
          <w:sz w:val="28"/>
          <w:szCs w:val="28"/>
          <w:lang w:val="en-US" w:eastAsia="zh-CN"/>
        </w:rPr>
        <w:t>2</w:t>
      </w:r>
      <w:bookmarkStart w:id="0" w:name="_GoBack"/>
      <w:bookmarkEnd w:id="0"/>
      <w:r>
        <w:rPr>
          <w:rFonts w:hint="eastAsia" w:ascii="Times New Roman" w:hAnsi="Times New Roman" w:cs="宋体"/>
          <w:sz w:val="28"/>
          <w:szCs w:val="28"/>
        </w:rPr>
        <w:t>结合公知常识相比具有突出的实质性特征和显著的技术进步，具备了专利法规定的创造性。</w:t>
      </w:r>
    </w:p>
    <w:p>
      <w:pPr>
        <w:spacing w:line="360" w:lineRule="auto"/>
        <w:ind w:firstLine="480"/>
        <w:rPr>
          <w:rFonts w:ascii="Times New Roman" w:hAnsi="Times New Roman" w:cs="Times New Roman"/>
          <w:sz w:val="28"/>
          <w:szCs w:val="28"/>
        </w:rPr>
      </w:pPr>
      <w:r>
        <w:rPr>
          <w:rFonts w:hint="eastAsia" w:ascii="Times New Roman" w:hAnsi="Times New Roman" w:cs="宋体"/>
          <w:sz w:val="28"/>
          <w:szCs w:val="28"/>
        </w:rPr>
        <w:t>如果审查员在后续审查过程中认为本申请还存在其他缺陷，请给发明人提供修改和陈述意见的机会，发明人将尽力配合审查员的工作，谢谢审查员。</w:t>
      </w:r>
    </w:p>
    <w:p>
      <w:pPr>
        <w:spacing w:line="360" w:lineRule="auto"/>
        <w:rPr>
          <w:rFonts w:ascii="Times New Roman" w:hAnsi="Times New Roman" w:cs="Times New Roman"/>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D7F006"/>
    <w:multiLevelType w:val="singleLevel"/>
    <w:tmpl w:val="87D7F006"/>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doNotTrackMoves/>
  <w:documentProtection w:enforcement="0"/>
  <w:defaultTabStop w:val="420"/>
  <w:doNotHyphenateCaps/>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6118FA"/>
    <w:rsid w:val="00016FCD"/>
    <w:rsid w:val="00047B37"/>
    <w:rsid w:val="00075A2A"/>
    <w:rsid w:val="00081E85"/>
    <w:rsid w:val="0008626E"/>
    <w:rsid w:val="000C0029"/>
    <w:rsid w:val="000C3AC0"/>
    <w:rsid w:val="000C53BA"/>
    <w:rsid w:val="000C7190"/>
    <w:rsid w:val="000E0208"/>
    <w:rsid w:val="000E1F9A"/>
    <w:rsid w:val="000E28B4"/>
    <w:rsid w:val="001373CC"/>
    <w:rsid w:val="00142FCD"/>
    <w:rsid w:val="00157BFC"/>
    <w:rsid w:val="001617E4"/>
    <w:rsid w:val="00181D95"/>
    <w:rsid w:val="00196DC3"/>
    <w:rsid w:val="001A5E1B"/>
    <w:rsid w:val="001B26C2"/>
    <w:rsid w:val="001C1066"/>
    <w:rsid w:val="001C1612"/>
    <w:rsid w:val="001C6F59"/>
    <w:rsid w:val="001C7B8C"/>
    <w:rsid w:val="001E4416"/>
    <w:rsid w:val="001E7315"/>
    <w:rsid w:val="001F1469"/>
    <w:rsid w:val="00247E62"/>
    <w:rsid w:val="00253A08"/>
    <w:rsid w:val="00256510"/>
    <w:rsid w:val="002C0398"/>
    <w:rsid w:val="002E6432"/>
    <w:rsid w:val="002F61C3"/>
    <w:rsid w:val="00313BE5"/>
    <w:rsid w:val="00316C43"/>
    <w:rsid w:val="0032224C"/>
    <w:rsid w:val="0032496C"/>
    <w:rsid w:val="00327570"/>
    <w:rsid w:val="0033460E"/>
    <w:rsid w:val="0034092E"/>
    <w:rsid w:val="003439A1"/>
    <w:rsid w:val="00350A4D"/>
    <w:rsid w:val="00356783"/>
    <w:rsid w:val="00386FE4"/>
    <w:rsid w:val="003B007C"/>
    <w:rsid w:val="003D7397"/>
    <w:rsid w:val="003D78BA"/>
    <w:rsid w:val="003E20E4"/>
    <w:rsid w:val="003E3323"/>
    <w:rsid w:val="004148D9"/>
    <w:rsid w:val="00426FFA"/>
    <w:rsid w:val="004344A2"/>
    <w:rsid w:val="004732E7"/>
    <w:rsid w:val="004871BC"/>
    <w:rsid w:val="004967B7"/>
    <w:rsid w:val="004B6A1A"/>
    <w:rsid w:val="004C2D49"/>
    <w:rsid w:val="004F2589"/>
    <w:rsid w:val="00540301"/>
    <w:rsid w:val="00550667"/>
    <w:rsid w:val="0055346B"/>
    <w:rsid w:val="005536CC"/>
    <w:rsid w:val="00554824"/>
    <w:rsid w:val="005643A9"/>
    <w:rsid w:val="00586ED9"/>
    <w:rsid w:val="005D2CC2"/>
    <w:rsid w:val="005D4BEA"/>
    <w:rsid w:val="005E5E08"/>
    <w:rsid w:val="005E76E3"/>
    <w:rsid w:val="006118FA"/>
    <w:rsid w:val="00670EFC"/>
    <w:rsid w:val="00685B5E"/>
    <w:rsid w:val="006A595C"/>
    <w:rsid w:val="006C64CB"/>
    <w:rsid w:val="006D0191"/>
    <w:rsid w:val="006E4E7D"/>
    <w:rsid w:val="00733EA7"/>
    <w:rsid w:val="00734C5E"/>
    <w:rsid w:val="0073756E"/>
    <w:rsid w:val="00760BD6"/>
    <w:rsid w:val="00761801"/>
    <w:rsid w:val="007905F7"/>
    <w:rsid w:val="007A3573"/>
    <w:rsid w:val="007C0D9C"/>
    <w:rsid w:val="007C74C8"/>
    <w:rsid w:val="00816AF6"/>
    <w:rsid w:val="008247C7"/>
    <w:rsid w:val="0083463E"/>
    <w:rsid w:val="008462D7"/>
    <w:rsid w:val="008569E4"/>
    <w:rsid w:val="008638A3"/>
    <w:rsid w:val="00872477"/>
    <w:rsid w:val="00890546"/>
    <w:rsid w:val="008D1B89"/>
    <w:rsid w:val="008D2076"/>
    <w:rsid w:val="008E2FDD"/>
    <w:rsid w:val="008E78BB"/>
    <w:rsid w:val="008F0BE9"/>
    <w:rsid w:val="008F4577"/>
    <w:rsid w:val="00905205"/>
    <w:rsid w:val="009402CA"/>
    <w:rsid w:val="009413CC"/>
    <w:rsid w:val="009B11F9"/>
    <w:rsid w:val="009B6B02"/>
    <w:rsid w:val="009C0EE0"/>
    <w:rsid w:val="009C18DE"/>
    <w:rsid w:val="009F4544"/>
    <w:rsid w:val="00A16E9E"/>
    <w:rsid w:val="00A22533"/>
    <w:rsid w:val="00A50F47"/>
    <w:rsid w:val="00A608E5"/>
    <w:rsid w:val="00A66FAD"/>
    <w:rsid w:val="00AA2B1D"/>
    <w:rsid w:val="00AC4985"/>
    <w:rsid w:val="00AC740A"/>
    <w:rsid w:val="00B15C49"/>
    <w:rsid w:val="00B268C3"/>
    <w:rsid w:val="00B4744D"/>
    <w:rsid w:val="00B6477E"/>
    <w:rsid w:val="00B776C8"/>
    <w:rsid w:val="00B812AD"/>
    <w:rsid w:val="00B91419"/>
    <w:rsid w:val="00BA128A"/>
    <w:rsid w:val="00BC56C7"/>
    <w:rsid w:val="00BD770D"/>
    <w:rsid w:val="00BE22A3"/>
    <w:rsid w:val="00C037A1"/>
    <w:rsid w:val="00C2381A"/>
    <w:rsid w:val="00C61206"/>
    <w:rsid w:val="00C64115"/>
    <w:rsid w:val="00C83608"/>
    <w:rsid w:val="00CB1CD9"/>
    <w:rsid w:val="00CC4B02"/>
    <w:rsid w:val="00CF7E5C"/>
    <w:rsid w:val="00D25A8B"/>
    <w:rsid w:val="00D35818"/>
    <w:rsid w:val="00D41DC0"/>
    <w:rsid w:val="00D55B06"/>
    <w:rsid w:val="00D65E7A"/>
    <w:rsid w:val="00D75933"/>
    <w:rsid w:val="00D862B1"/>
    <w:rsid w:val="00D943B3"/>
    <w:rsid w:val="00DA00DA"/>
    <w:rsid w:val="00DC2706"/>
    <w:rsid w:val="00DD010A"/>
    <w:rsid w:val="00DF0A1C"/>
    <w:rsid w:val="00DF4E5D"/>
    <w:rsid w:val="00E01486"/>
    <w:rsid w:val="00E07D7A"/>
    <w:rsid w:val="00E10255"/>
    <w:rsid w:val="00E3278F"/>
    <w:rsid w:val="00E37C52"/>
    <w:rsid w:val="00E4229F"/>
    <w:rsid w:val="00E4696B"/>
    <w:rsid w:val="00E535B9"/>
    <w:rsid w:val="00E56BEB"/>
    <w:rsid w:val="00E624B6"/>
    <w:rsid w:val="00E62F77"/>
    <w:rsid w:val="00E63376"/>
    <w:rsid w:val="00E90A18"/>
    <w:rsid w:val="00E91A90"/>
    <w:rsid w:val="00EA7900"/>
    <w:rsid w:val="00ED0C35"/>
    <w:rsid w:val="00ED2428"/>
    <w:rsid w:val="00EE68CB"/>
    <w:rsid w:val="00EE7D1F"/>
    <w:rsid w:val="00EF2263"/>
    <w:rsid w:val="00EF37CF"/>
    <w:rsid w:val="00F02EDE"/>
    <w:rsid w:val="00F850DF"/>
    <w:rsid w:val="00F91D6E"/>
    <w:rsid w:val="00F91DF1"/>
    <w:rsid w:val="00FD75DE"/>
    <w:rsid w:val="00FE371C"/>
    <w:rsid w:val="00FE6A04"/>
    <w:rsid w:val="00FF5372"/>
    <w:rsid w:val="00FF72D9"/>
    <w:rsid w:val="01BA47AB"/>
    <w:rsid w:val="01BE55DC"/>
    <w:rsid w:val="02294E64"/>
    <w:rsid w:val="025D4213"/>
    <w:rsid w:val="03037D88"/>
    <w:rsid w:val="03775CAB"/>
    <w:rsid w:val="041B000B"/>
    <w:rsid w:val="041C270B"/>
    <w:rsid w:val="05943CDE"/>
    <w:rsid w:val="068C2DC1"/>
    <w:rsid w:val="07941FF3"/>
    <w:rsid w:val="084C6E68"/>
    <w:rsid w:val="084F36DE"/>
    <w:rsid w:val="089C0F76"/>
    <w:rsid w:val="08FB7507"/>
    <w:rsid w:val="0A7F36F5"/>
    <w:rsid w:val="0A975AF2"/>
    <w:rsid w:val="0AAC437E"/>
    <w:rsid w:val="0B0C1C82"/>
    <w:rsid w:val="0B5139CA"/>
    <w:rsid w:val="0D4020C0"/>
    <w:rsid w:val="0DB73D63"/>
    <w:rsid w:val="0DB74FBA"/>
    <w:rsid w:val="0E673E4F"/>
    <w:rsid w:val="0F773B14"/>
    <w:rsid w:val="0F89707C"/>
    <w:rsid w:val="0FC9359B"/>
    <w:rsid w:val="103F7D8F"/>
    <w:rsid w:val="10630A0A"/>
    <w:rsid w:val="11E455BA"/>
    <w:rsid w:val="12CA3BAD"/>
    <w:rsid w:val="1340760C"/>
    <w:rsid w:val="13C637AB"/>
    <w:rsid w:val="13C75500"/>
    <w:rsid w:val="15EE7B2D"/>
    <w:rsid w:val="15FA44EA"/>
    <w:rsid w:val="162102C3"/>
    <w:rsid w:val="174E5815"/>
    <w:rsid w:val="17735687"/>
    <w:rsid w:val="17C41949"/>
    <w:rsid w:val="17D719C4"/>
    <w:rsid w:val="18C92B8A"/>
    <w:rsid w:val="19061A65"/>
    <w:rsid w:val="19070D54"/>
    <w:rsid w:val="1A296F4E"/>
    <w:rsid w:val="1B9F3887"/>
    <w:rsid w:val="1C291732"/>
    <w:rsid w:val="1C565EE6"/>
    <w:rsid w:val="1C577F1A"/>
    <w:rsid w:val="1C870A7F"/>
    <w:rsid w:val="1D2133EB"/>
    <w:rsid w:val="1D94740A"/>
    <w:rsid w:val="1D963702"/>
    <w:rsid w:val="1DEF3ACB"/>
    <w:rsid w:val="1DF81D88"/>
    <w:rsid w:val="1E637349"/>
    <w:rsid w:val="1FBB00F7"/>
    <w:rsid w:val="1FF500F2"/>
    <w:rsid w:val="205439DD"/>
    <w:rsid w:val="212948DA"/>
    <w:rsid w:val="216B5B0F"/>
    <w:rsid w:val="21705415"/>
    <w:rsid w:val="22C84EF3"/>
    <w:rsid w:val="232F3926"/>
    <w:rsid w:val="234621DE"/>
    <w:rsid w:val="23AD641E"/>
    <w:rsid w:val="23BA687E"/>
    <w:rsid w:val="23CC77CC"/>
    <w:rsid w:val="24647110"/>
    <w:rsid w:val="24774885"/>
    <w:rsid w:val="247B3EC2"/>
    <w:rsid w:val="248538FF"/>
    <w:rsid w:val="249B06D8"/>
    <w:rsid w:val="24D40008"/>
    <w:rsid w:val="25C02AEF"/>
    <w:rsid w:val="2765058B"/>
    <w:rsid w:val="276A5AA1"/>
    <w:rsid w:val="27E74E16"/>
    <w:rsid w:val="29624CED"/>
    <w:rsid w:val="29E10727"/>
    <w:rsid w:val="2AAF7C5D"/>
    <w:rsid w:val="2BF13CD4"/>
    <w:rsid w:val="2C4210E7"/>
    <w:rsid w:val="2C565C28"/>
    <w:rsid w:val="2C983E04"/>
    <w:rsid w:val="2D6D0304"/>
    <w:rsid w:val="2F516310"/>
    <w:rsid w:val="30021248"/>
    <w:rsid w:val="3003787D"/>
    <w:rsid w:val="302B21F6"/>
    <w:rsid w:val="30511D95"/>
    <w:rsid w:val="3176634C"/>
    <w:rsid w:val="31925530"/>
    <w:rsid w:val="31A903A0"/>
    <w:rsid w:val="32495AF4"/>
    <w:rsid w:val="328E6831"/>
    <w:rsid w:val="32C26FB8"/>
    <w:rsid w:val="33154F69"/>
    <w:rsid w:val="333B128C"/>
    <w:rsid w:val="33581B1C"/>
    <w:rsid w:val="33713745"/>
    <w:rsid w:val="33CA3D09"/>
    <w:rsid w:val="33FA3CFA"/>
    <w:rsid w:val="34854D79"/>
    <w:rsid w:val="35555EA3"/>
    <w:rsid w:val="36155C8E"/>
    <w:rsid w:val="365E2655"/>
    <w:rsid w:val="36A156B6"/>
    <w:rsid w:val="36B55956"/>
    <w:rsid w:val="37A169FC"/>
    <w:rsid w:val="37E212FF"/>
    <w:rsid w:val="37FD079B"/>
    <w:rsid w:val="38187694"/>
    <w:rsid w:val="381D3F5C"/>
    <w:rsid w:val="38A660BA"/>
    <w:rsid w:val="38FA290C"/>
    <w:rsid w:val="393A12E6"/>
    <w:rsid w:val="3A845C99"/>
    <w:rsid w:val="3AA21205"/>
    <w:rsid w:val="3AE12051"/>
    <w:rsid w:val="3B741002"/>
    <w:rsid w:val="3BA85DCF"/>
    <w:rsid w:val="3BE21F6A"/>
    <w:rsid w:val="3C103377"/>
    <w:rsid w:val="3CC55261"/>
    <w:rsid w:val="3D530E10"/>
    <w:rsid w:val="3D783242"/>
    <w:rsid w:val="3D804F11"/>
    <w:rsid w:val="3DCC1D7F"/>
    <w:rsid w:val="401F551F"/>
    <w:rsid w:val="41B05175"/>
    <w:rsid w:val="42707E5D"/>
    <w:rsid w:val="42A20B31"/>
    <w:rsid w:val="431A6E4B"/>
    <w:rsid w:val="432A202E"/>
    <w:rsid w:val="438457FE"/>
    <w:rsid w:val="44042A10"/>
    <w:rsid w:val="44337E93"/>
    <w:rsid w:val="46333918"/>
    <w:rsid w:val="4634034B"/>
    <w:rsid w:val="47A378EF"/>
    <w:rsid w:val="48A76A46"/>
    <w:rsid w:val="497F2155"/>
    <w:rsid w:val="498F48D5"/>
    <w:rsid w:val="4A2014A0"/>
    <w:rsid w:val="4A5E6BFC"/>
    <w:rsid w:val="4AA76E95"/>
    <w:rsid w:val="4ABC1D35"/>
    <w:rsid w:val="4B680EDC"/>
    <w:rsid w:val="4D8A6FB9"/>
    <w:rsid w:val="4F8A479D"/>
    <w:rsid w:val="4FA77A42"/>
    <w:rsid w:val="503C2CA3"/>
    <w:rsid w:val="50572A1C"/>
    <w:rsid w:val="50970A82"/>
    <w:rsid w:val="50A66E81"/>
    <w:rsid w:val="52226B21"/>
    <w:rsid w:val="538F259D"/>
    <w:rsid w:val="53B92710"/>
    <w:rsid w:val="54373931"/>
    <w:rsid w:val="543E3155"/>
    <w:rsid w:val="54C662FF"/>
    <w:rsid w:val="55523CE5"/>
    <w:rsid w:val="55AA06F0"/>
    <w:rsid w:val="55C24428"/>
    <w:rsid w:val="562F1595"/>
    <w:rsid w:val="56C5624B"/>
    <w:rsid w:val="58AF7069"/>
    <w:rsid w:val="590C349D"/>
    <w:rsid w:val="592A14D1"/>
    <w:rsid w:val="59E426E3"/>
    <w:rsid w:val="5A2A797E"/>
    <w:rsid w:val="5A7632C7"/>
    <w:rsid w:val="5B5E21AA"/>
    <w:rsid w:val="5C2C5752"/>
    <w:rsid w:val="5C77102C"/>
    <w:rsid w:val="5DEE372D"/>
    <w:rsid w:val="5E1C4657"/>
    <w:rsid w:val="5E5A553D"/>
    <w:rsid w:val="5E8C3CB9"/>
    <w:rsid w:val="5F5460DF"/>
    <w:rsid w:val="5F6A5BF4"/>
    <w:rsid w:val="5F917C87"/>
    <w:rsid w:val="60697E8D"/>
    <w:rsid w:val="61074322"/>
    <w:rsid w:val="62D56190"/>
    <w:rsid w:val="636B1D8D"/>
    <w:rsid w:val="64030C15"/>
    <w:rsid w:val="648A4413"/>
    <w:rsid w:val="64BB2B49"/>
    <w:rsid w:val="661D2230"/>
    <w:rsid w:val="67792B90"/>
    <w:rsid w:val="69525EA9"/>
    <w:rsid w:val="69637640"/>
    <w:rsid w:val="69D4309A"/>
    <w:rsid w:val="6A7B1113"/>
    <w:rsid w:val="6A9167C8"/>
    <w:rsid w:val="6ABC7BEE"/>
    <w:rsid w:val="6ACB1A38"/>
    <w:rsid w:val="6B7A2DE7"/>
    <w:rsid w:val="6DC9789F"/>
    <w:rsid w:val="6DE435E6"/>
    <w:rsid w:val="6DEC4436"/>
    <w:rsid w:val="6F0D5C3F"/>
    <w:rsid w:val="70FC1A56"/>
    <w:rsid w:val="7155115C"/>
    <w:rsid w:val="722E5F35"/>
    <w:rsid w:val="7318132A"/>
    <w:rsid w:val="73CC2130"/>
    <w:rsid w:val="74095041"/>
    <w:rsid w:val="749F00AB"/>
    <w:rsid w:val="75187598"/>
    <w:rsid w:val="7558073A"/>
    <w:rsid w:val="75670A76"/>
    <w:rsid w:val="76402133"/>
    <w:rsid w:val="767134E7"/>
    <w:rsid w:val="774E0E7E"/>
    <w:rsid w:val="77D87B76"/>
    <w:rsid w:val="787E4CC3"/>
    <w:rsid w:val="78F32807"/>
    <w:rsid w:val="79B54FE1"/>
    <w:rsid w:val="79F76F8B"/>
    <w:rsid w:val="7A4204C3"/>
    <w:rsid w:val="7A4E3B86"/>
    <w:rsid w:val="7B3B597A"/>
    <w:rsid w:val="7C2A54A3"/>
    <w:rsid w:val="7D176C13"/>
    <w:rsid w:val="7D1D48C4"/>
    <w:rsid w:val="7E5C0000"/>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qFormat="1" w:unhideWhenUsed="0" w:uiPriority="0" w:semiHidden="0" w:name="Normal Indent"/>
    <w:lsdException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adjustRightInd w:val="0"/>
      <w:spacing w:beforeLines="35" w:line="460" w:lineRule="exact"/>
      <w:ind w:firstLine="200" w:firstLineChars="200"/>
    </w:pPr>
  </w:style>
  <w:style w:type="paragraph" w:styleId="3">
    <w:name w:val="annotation text"/>
    <w:basedOn w:val="1"/>
    <w:link w:val="14"/>
    <w:semiHidden/>
    <w:qFormat/>
    <w:uiPriority w:val="99"/>
    <w:pPr>
      <w:jc w:val="left"/>
    </w:pPr>
  </w:style>
  <w:style w:type="paragraph" w:styleId="4">
    <w:name w:val="Balloon Text"/>
    <w:basedOn w:val="1"/>
    <w:link w:val="16"/>
    <w:semiHidden/>
    <w:qFormat/>
    <w:uiPriority w:val="99"/>
    <w:rPr>
      <w:sz w:val="18"/>
      <w:szCs w:val="18"/>
    </w:rPr>
  </w:style>
  <w:style w:type="paragraph" w:styleId="5">
    <w:name w:val="footer"/>
    <w:basedOn w:val="1"/>
    <w:link w:val="13"/>
    <w:qFormat/>
    <w:uiPriority w:val="99"/>
    <w:pPr>
      <w:tabs>
        <w:tab w:val="center" w:pos="4153"/>
        <w:tab w:val="right" w:pos="8306"/>
      </w:tabs>
      <w:snapToGrid w:val="0"/>
      <w:jc w:val="left"/>
    </w:pPr>
    <w:rPr>
      <w:sz w:val="18"/>
      <w:szCs w:val="18"/>
    </w:rPr>
  </w:style>
  <w:style w:type="paragraph" w:styleId="6">
    <w:name w:val="header"/>
    <w:basedOn w:val="1"/>
    <w:link w:val="12"/>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15"/>
    <w:semiHidden/>
    <w:qFormat/>
    <w:uiPriority w:val="99"/>
    <w:rPr>
      <w:b/>
      <w:bCs/>
    </w:rPr>
  </w:style>
  <w:style w:type="character" w:styleId="10">
    <w:name w:val="Hyperlink"/>
    <w:basedOn w:val="9"/>
    <w:semiHidden/>
    <w:unhideWhenUsed/>
    <w:qFormat/>
    <w:uiPriority w:val="99"/>
    <w:rPr>
      <w:color w:val="0000FF"/>
      <w:u w:val="single"/>
    </w:rPr>
  </w:style>
  <w:style w:type="character" w:styleId="11">
    <w:name w:val="annotation reference"/>
    <w:semiHidden/>
    <w:qFormat/>
    <w:uiPriority w:val="99"/>
    <w:rPr>
      <w:sz w:val="21"/>
      <w:szCs w:val="21"/>
    </w:rPr>
  </w:style>
  <w:style w:type="character" w:customStyle="1" w:styleId="12">
    <w:name w:val="页眉 Char"/>
    <w:link w:val="6"/>
    <w:qFormat/>
    <w:locked/>
    <w:uiPriority w:val="99"/>
    <w:rPr>
      <w:sz w:val="18"/>
      <w:szCs w:val="18"/>
    </w:rPr>
  </w:style>
  <w:style w:type="character" w:customStyle="1" w:styleId="13">
    <w:name w:val="页脚 Char"/>
    <w:link w:val="5"/>
    <w:qFormat/>
    <w:locked/>
    <w:uiPriority w:val="99"/>
    <w:rPr>
      <w:sz w:val="18"/>
      <w:szCs w:val="18"/>
    </w:rPr>
  </w:style>
  <w:style w:type="character" w:customStyle="1" w:styleId="14">
    <w:name w:val="批注文字 Char"/>
    <w:basedOn w:val="9"/>
    <w:link w:val="3"/>
    <w:semiHidden/>
    <w:qFormat/>
    <w:locked/>
    <w:uiPriority w:val="99"/>
  </w:style>
  <w:style w:type="character" w:customStyle="1" w:styleId="15">
    <w:name w:val="批注主题 Char"/>
    <w:link w:val="7"/>
    <w:semiHidden/>
    <w:qFormat/>
    <w:locked/>
    <w:uiPriority w:val="99"/>
    <w:rPr>
      <w:b/>
      <w:bCs/>
    </w:rPr>
  </w:style>
  <w:style w:type="character" w:customStyle="1" w:styleId="16">
    <w:name w:val="批注框文本 Char"/>
    <w:link w:val="4"/>
    <w:semiHidden/>
    <w:qFormat/>
    <w:locked/>
    <w:uiPriority w:val="99"/>
    <w:rPr>
      <w:sz w:val="18"/>
      <w:szCs w:val="18"/>
    </w:rPr>
  </w:style>
  <w:style w:type="paragraph" w:customStyle="1" w:styleId="17">
    <w:name w:val="样式 正文缩进d + 首行缩进:  2 字符 段前: 0.35 行"/>
    <w:basedOn w:val="2"/>
    <w:qFormat/>
    <w:uiPriority w:val="0"/>
    <w:pPr>
      <w:spacing w:before="84"/>
      <w:ind w:firstLine="560"/>
    </w:pPr>
    <w:rPr>
      <w:rFonts w:cs="宋体"/>
      <w:szCs w:val="20"/>
    </w:rPr>
  </w:style>
  <w:style w:type="character" w:customStyle="1" w:styleId="18">
    <w:name w:val="number"/>
    <w:basedOn w:val="9"/>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MS</Company>
  <Pages>4</Pages>
  <Words>1889</Words>
  <Characters>141</Characters>
  <Lines>1</Lines>
  <Paragraphs>4</Paragraphs>
  <TotalTime>2</TotalTime>
  <ScaleCrop>false</ScaleCrop>
  <LinksUpToDate>false</LinksUpToDate>
  <CharactersWithSpaces>2026</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2017-02-24T14:07:00Z</dcterms:created>
  <dc:creator>user</dc:creator>
  <cp:lastModifiedBy>Administrator</cp:lastModifiedBy>
  <dcterms:modified xsi:type="dcterms:W3CDTF">2020-04-27T08:14:33Z</dcterms:modified>
  <cp:revision>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y fmtid="{D5CDD505-2E9C-101B-9397-08002B2CF9AE}" pid="3" name="KSORubyTemplateID" linkTarget="0">
    <vt:lpwstr>6</vt:lpwstr>
  </property>
</Properties>
</file>