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8F3D7" w14:textId="77777777" w:rsidR="00000000" w:rsidRDefault="00000000">
      <w:pPr>
        <w:tabs>
          <w:tab w:val="left" w:pos="2400"/>
        </w:tabs>
      </w:pPr>
      <w:r>
        <w:rPr>
          <w:noProof/>
        </w:rPr>
        <w:drawing>
          <wp:anchor distT="0" distB="0" distL="114300" distR="114300" simplePos="0" relativeHeight="251660288" behindDoc="0" locked="0" layoutInCell="1" allowOverlap="1" wp14:anchorId="55863E55" wp14:editId="1A122078">
            <wp:simplePos x="0" y="0"/>
            <wp:positionH relativeFrom="column">
              <wp:posOffset>-1428750</wp:posOffset>
            </wp:positionH>
            <wp:positionV relativeFrom="paragraph">
              <wp:posOffset>8255</wp:posOffset>
            </wp:positionV>
            <wp:extent cx="7559040" cy="1313815"/>
            <wp:effectExtent l="0" t="0" r="3810" b="635"/>
            <wp:wrapNone/>
            <wp:docPr id="1" name="图片 22" descr="C:\Users\Qimeng\Desktop\3333.png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2" descr="C:\Users\Qimeng\Desktop\3333.png3333"/>
                    <pic:cNvPicPr>
                      <a:picLocks noChangeAspect="1"/>
                    </pic:cNvPicPr>
                  </pic:nvPicPr>
                  <pic:blipFill>
                    <a:blip r:embed="rId8"/>
                    <a:stretch>
                      <a:fillRect/>
                    </a:stretch>
                  </pic:blipFill>
                  <pic:spPr>
                    <a:xfrm>
                      <a:off x="0" y="0"/>
                      <a:ext cx="7559040" cy="1313815"/>
                    </a:xfrm>
                    <a:prstGeom prst="rect">
                      <a:avLst/>
                    </a:prstGeom>
                    <a:noFill/>
                    <a:ln w="9525">
                      <a:noFill/>
                    </a:ln>
                  </pic:spPr>
                </pic:pic>
              </a:graphicData>
            </a:graphic>
          </wp:anchor>
        </w:drawing>
      </w:r>
    </w:p>
    <w:p w14:paraId="317F67A2" w14:textId="77777777" w:rsidR="00000000" w:rsidRDefault="00000000">
      <w:pPr>
        <w:tabs>
          <w:tab w:val="left" w:pos="2400"/>
        </w:tabs>
      </w:pPr>
    </w:p>
    <w:p w14:paraId="7FB7743C" w14:textId="77777777" w:rsidR="00000000" w:rsidRDefault="00000000">
      <w:pPr>
        <w:tabs>
          <w:tab w:val="left" w:pos="2400"/>
        </w:tabs>
      </w:pPr>
    </w:p>
    <w:p w14:paraId="3BF31F74" w14:textId="77777777" w:rsidR="00000000" w:rsidRDefault="00000000">
      <w:pPr>
        <w:tabs>
          <w:tab w:val="left" w:pos="2400"/>
        </w:tabs>
      </w:pPr>
    </w:p>
    <w:p w14:paraId="790A7024" w14:textId="77777777" w:rsidR="00000000" w:rsidRDefault="00000000">
      <w:pPr>
        <w:tabs>
          <w:tab w:val="left" w:pos="2400"/>
        </w:tabs>
      </w:pPr>
    </w:p>
    <w:p w14:paraId="207D0E77" w14:textId="77777777" w:rsidR="00000000" w:rsidRDefault="00000000">
      <w:pPr>
        <w:tabs>
          <w:tab w:val="left" w:pos="2400"/>
        </w:tabs>
      </w:pPr>
    </w:p>
    <w:p w14:paraId="78A0A898" w14:textId="77777777" w:rsidR="00000000" w:rsidRDefault="00000000">
      <w:pPr>
        <w:tabs>
          <w:tab w:val="left" w:pos="2400"/>
        </w:tabs>
      </w:pPr>
    </w:p>
    <w:p w14:paraId="4670C65B" w14:textId="77777777" w:rsidR="00000000" w:rsidRDefault="00000000">
      <w:pPr>
        <w:tabs>
          <w:tab w:val="left" w:pos="2400"/>
        </w:tabs>
      </w:pPr>
    </w:p>
    <w:p w14:paraId="6F7663B4" w14:textId="77777777" w:rsidR="00000000" w:rsidRDefault="00000000">
      <w:pPr>
        <w:tabs>
          <w:tab w:val="left" w:pos="2400"/>
        </w:tabs>
      </w:pPr>
    </w:p>
    <w:p w14:paraId="2BDBD7A5" w14:textId="77777777" w:rsidR="00000000" w:rsidRDefault="00000000">
      <w:pPr>
        <w:tabs>
          <w:tab w:val="left" w:pos="2400"/>
        </w:tabs>
      </w:pPr>
    </w:p>
    <w:p w14:paraId="2BEC941C" w14:textId="77777777" w:rsidR="00000000" w:rsidRDefault="00000000">
      <w:pPr>
        <w:tabs>
          <w:tab w:val="left" w:pos="2400"/>
        </w:tabs>
      </w:pPr>
    </w:p>
    <w:p w14:paraId="2DFAAE5F" w14:textId="77777777" w:rsidR="00000000" w:rsidRDefault="00000000">
      <w:pPr>
        <w:tabs>
          <w:tab w:val="left" w:pos="2400"/>
        </w:tabs>
      </w:pPr>
    </w:p>
    <w:p w14:paraId="05002ED5" w14:textId="77777777" w:rsidR="00000000" w:rsidRDefault="00000000">
      <w:pPr>
        <w:tabs>
          <w:tab w:val="left" w:pos="2400"/>
        </w:tabs>
      </w:pPr>
    </w:p>
    <w:p w14:paraId="73115D52" w14:textId="77777777" w:rsidR="00000000" w:rsidRDefault="00000000">
      <w:pPr>
        <w:tabs>
          <w:tab w:val="left" w:pos="2400"/>
        </w:tabs>
      </w:pPr>
    </w:p>
    <w:p w14:paraId="7C35F89D" w14:textId="77777777" w:rsidR="00000000" w:rsidRDefault="00000000">
      <w:pPr>
        <w:tabs>
          <w:tab w:val="left" w:pos="2400"/>
        </w:tabs>
      </w:pPr>
    </w:p>
    <w:p w14:paraId="3D8F998B" w14:textId="77777777" w:rsidR="00000000" w:rsidRDefault="00000000">
      <w:pPr>
        <w:tabs>
          <w:tab w:val="left" w:pos="2400"/>
        </w:tabs>
      </w:pPr>
    </w:p>
    <w:p w14:paraId="490242BC" w14:textId="77777777" w:rsidR="00000000" w:rsidRDefault="00000000">
      <w:pPr>
        <w:tabs>
          <w:tab w:val="left" w:pos="2400"/>
        </w:tabs>
      </w:pPr>
    </w:p>
    <w:p w14:paraId="76C70CF2" w14:textId="77777777" w:rsidR="00000000" w:rsidRPr="008827C6" w:rsidRDefault="00000000" w:rsidP="008827C6">
      <w:pPr>
        <w:tabs>
          <w:tab w:val="left" w:pos="2400"/>
        </w:tabs>
        <w:jc w:val="center"/>
        <w:rPr>
          <w:sz w:val="48"/>
          <w:szCs w:val="48"/>
        </w:rPr>
      </w:pPr>
      <w:r w:rsidRPr="008827C6">
        <w:rPr>
          <w:noProof/>
          <w:sz w:val="48"/>
          <w:szCs w:val="48"/>
        </w:rPr>
        <w:t>一种多功能秸秆还田残膜回收一体机</w:t>
      </w:r>
    </w:p>
    <w:p w14:paraId="4D489A45" w14:textId="77777777" w:rsidR="00000000" w:rsidRDefault="00000000">
      <w:pPr>
        <w:tabs>
          <w:tab w:val="left" w:pos="2400"/>
        </w:tabs>
      </w:pPr>
    </w:p>
    <w:p w14:paraId="75533ABB" w14:textId="77777777" w:rsidR="00000000" w:rsidRDefault="00000000">
      <w:pPr>
        <w:tabs>
          <w:tab w:val="left" w:pos="2400"/>
        </w:tabs>
      </w:pPr>
    </w:p>
    <w:p w14:paraId="150106D5" w14:textId="77777777" w:rsidR="00000000" w:rsidRDefault="00000000">
      <w:pPr>
        <w:tabs>
          <w:tab w:val="left" w:pos="2400"/>
        </w:tabs>
      </w:pPr>
    </w:p>
    <w:tbl>
      <w:tblPr>
        <w:tblStyle w:val="a9"/>
        <w:tblW w:w="9234" w:type="dxa"/>
        <w:tblLayout w:type="fixed"/>
        <w:tblLook w:val="04A0" w:firstRow="1" w:lastRow="0" w:firstColumn="1" w:lastColumn="0" w:noHBand="0" w:noVBand="1"/>
      </w:tblPr>
      <w:tblGrid>
        <w:gridCol w:w="2476"/>
        <w:gridCol w:w="6758"/>
      </w:tblGrid>
      <w:tr w:rsidR="006A6257" w14:paraId="290AAD72" w14:textId="77777777">
        <w:trPr>
          <w:trHeight w:val="534"/>
        </w:trPr>
        <w:tc>
          <w:tcPr>
            <w:tcW w:w="2476" w:type="dxa"/>
            <w:tcBorders>
              <w:top w:val="nil"/>
              <w:left w:val="nil"/>
              <w:bottom w:val="nil"/>
              <w:right w:val="nil"/>
            </w:tcBorders>
          </w:tcPr>
          <w:p w14:paraId="636FC642" w14:textId="77777777" w:rsidR="00000000" w:rsidRDefault="00000000" w:rsidP="008827C6">
            <w:pPr>
              <w:tabs>
                <w:tab w:val="left" w:pos="2400"/>
              </w:tabs>
              <w:spacing w:line="480" w:lineRule="auto"/>
              <w:ind w:right="120"/>
              <w:jc w:val="right"/>
            </w:pPr>
            <w:r>
              <w:rPr>
                <w:rFonts w:hint="eastAsia"/>
              </w:rPr>
              <w:t>申请号：</w:t>
            </w:r>
          </w:p>
        </w:tc>
        <w:tc>
          <w:tcPr>
            <w:tcW w:w="6758" w:type="dxa"/>
            <w:tcBorders>
              <w:top w:val="nil"/>
              <w:left w:val="nil"/>
              <w:bottom w:val="nil"/>
              <w:right w:val="nil"/>
            </w:tcBorders>
          </w:tcPr>
          <w:p w14:paraId="5215CA9C" w14:textId="77777777" w:rsidR="00000000" w:rsidRDefault="00000000">
            <w:pPr>
              <w:tabs>
                <w:tab w:val="left" w:pos="2400"/>
              </w:tabs>
              <w:spacing w:line="480" w:lineRule="auto"/>
            </w:pPr>
            <w:r>
              <w:t xml:space="preserve">CN201910183253.X </w:t>
            </w:r>
          </w:p>
        </w:tc>
      </w:tr>
      <w:tr w:rsidR="006A6257" w14:paraId="7B006FFB" w14:textId="77777777">
        <w:trPr>
          <w:trHeight w:val="474"/>
        </w:trPr>
        <w:tc>
          <w:tcPr>
            <w:tcW w:w="2476" w:type="dxa"/>
            <w:tcBorders>
              <w:top w:val="nil"/>
              <w:left w:val="nil"/>
              <w:bottom w:val="nil"/>
              <w:right w:val="nil"/>
            </w:tcBorders>
          </w:tcPr>
          <w:p w14:paraId="19ACC209" w14:textId="77777777" w:rsidR="00000000" w:rsidRDefault="00000000">
            <w:pPr>
              <w:tabs>
                <w:tab w:val="left" w:pos="2400"/>
              </w:tabs>
              <w:spacing w:line="480" w:lineRule="auto"/>
              <w:jc w:val="right"/>
            </w:pPr>
            <w:r>
              <w:rPr>
                <w:rFonts w:hint="eastAsia"/>
              </w:rPr>
              <w:t>申请日：</w:t>
            </w:r>
          </w:p>
        </w:tc>
        <w:tc>
          <w:tcPr>
            <w:tcW w:w="6758" w:type="dxa"/>
            <w:tcBorders>
              <w:top w:val="nil"/>
              <w:left w:val="nil"/>
              <w:bottom w:val="nil"/>
              <w:right w:val="nil"/>
            </w:tcBorders>
          </w:tcPr>
          <w:p w14:paraId="139CA206" w14:textId="77777777" w:rsidR="00000000" w:rsidRDefault="00000000">
            <w:pPr>
              <w:tabs>
                <w:tab w:val="left" w:pos="2400"/>
              </w:tabs>
              <w:spacing w:line="480" w:lineRule="auto"/>
            </w:pPr>
            <w:r>
              <w:t>20190312</w:t>
            </w:r>
          </w:p>
        </w:tc>
      </w:tr>
      <w:tr w:rsidR="006A6257" w14:paraId="296A43D1" w14:textId="77777777">
        <w:trPr>
          <w:trHeight w:val="474"/>
        </w:trPr>
        <w:tc>
          <w:tcPr>
            <w:tcW w:w="2476" w:type="dxa"/>
            <w:tcBorders>
              <w:top w:val="nil"/>
              <w:left w:val="nil"/>
              <w:bottom w:val="nil"/>
              <w:right w:val="nil"/>
            </w:tcBorders>
          </w:tcPr>
          <w:p w14:paraId="5AD4EC0A" w14:textId="77777777" w:rsidR="00000000" w:rsidRDefault="00000000">
            <w:pPr>
              <w:tabs>
                <w:tab w:val="left" w:pos="2400"/>
              </w:tabs>
              <w:spacing w:line="480" w:lineRule="auto"/>
              <w:jc w:val="right"/>
            </w:pPr>
            <w:r>
              <w:rPr>
                <w:rFonts w:hint="eastAsia"/>
              </w:rPr>
              <w:t>申请（专利权）人：</w:t>
            </w:r>
          </w:p>
        </w:tc>
        <w:tc>
          <w:tcPr>
            <w:tcW w:w="6758" w:type="dxa"/>
            <w:tcBorders>
              <w:top w:val="nil"/>
              <w:left w:val="nil"/>
              <w:bottom w:val="nil"/>
              <w:right w:val="nil"/>
            </w:tcBorders>
          </w:tcPr>
          <w:p w14:paraId="35701F37" w14:textId="77777777" w:rsidR="00000000" w:rsidRDefault="00000000">
            <w:pPr>
              <w:tabs>
                <w:tab w:val="left" w:pos="2400"/>
              </w:tabs>
              <w:spacing w:line="480" w:lineRule="auto"/>
            </w:pPr>
            <w:r>
              <w:t>[</w:t>
            </w:r>
            <w:r>
              <w:t>塔里木大学</w:t>
            </w:r>
            <w:r>
              <w:t>]</w:t>
            </w:r>
          </w:p>
        </w:tc>
      </w:tr>
      <w:tr w:rsidR="006A6257" w14:paraId="7AC6E399" w14:textId="77777777">
        <w:trPr>
          <w:trHeight w:val="474"/>
        </w:trPr>
        <w:tc>
          <w:tcPr>
            <w:tcW w:w="2476" w:type="dxa"/>
            <w:tcBorders>
              <w:top w:val="nil"/>
              <w:left w:val="nil"/>
              <w:bottom w:val="nil"/>
              <w:right w:val="nil"/>
            </w:tcBorders>
          </w:tcPr>
          <w:p w14:paraId="6CB883A9" w14:textId="77777777" w:rsidR="00000000" w:rsidRDefault="00000000">
            <w:pPr>
              <w:spacing w:line="480" w:lineRule="auto"/>
              <w:jc w:val="right"/>
            </w:pPr>
            <w:r>
              <w:rPr>
                <w:rFonts w:hint="eastAsia"/>
              </w:rPr>
              <w:t>地址：</w:t>
            </w:r>
          </w:p>
        </w:tc>
        <w:tc>
          <w:tcPr>
            <w:tcW w:w="6758" w:type="dxa"/>
            <w:tcBorders>
              <w:top w:val="nil"/>
              <w:left w:val="nil"/>
              <w:bottom w:val="nil"/>
              <w:right w:val="nil"/>
            </w:tcBorders>
          </w:tcPr>
          <w:p w14:paraId="7D9FE952" w14:textId="77777777" w:rsidR="00000000" w:rsidRDefault="00000000">
            <w:pPr>
              <w:tabs>
                <w:tab w:val="left" w:pos="2400"/>
              </w:tabs>
              <w:spacing w:line="480" w:lineRule="auto"/>
            </w:pPr>
            <w:r>
              <w:t>新疆维吾尔自治区阿拉尔市虹桥南路</w:t>
            </w:r>
            <w:r>
              <w:t>705</w:t>
            </w:r>
            <w:r>
              <w:t>号</w:t>
            </w:r>
          </w:p>
        </w:tc>
      </w:tr>
      <w:tr w:rsidR="006A6257" w14:paraId="031A0182" w14:textId="77777777">
        <w:trPr>
          <w:trHeight w:val="474"/>
        </w:trPr>
        <w:tc>
          <w:tcPr>
            <w:tcW w:w="2476" w:type="dxa"/>
            <w:tcBorders>
              <w:top w:val="nil"/>
              <w:left w:val="nil"/>
              <w:bottom w:val="nil"/>
              <w:right w:val="nil"/>
            </w:tcBorders>
          </w:tcPr>
          <w:p w14:paraId="3B166BAE" w14:textId="77777777" w:rsidR="00000000" w:rsidRDefault="00000000">
            <w:pPr>
              <w:spacing w:line="480" w:lineRule="auto"/>
              <w:jc w:val="right"/>
            </w:pPr>
            <w:r>
              <w:rPr>
                <w:rFonts w:hint="eastAsia"/>
              </w:rPr>
              <w:t>发明人：</w:t>
            </w:r>
          </w:p>
        </w:tc>
        <w:tc>
          <w:tcPr>
            <w:tcW w:w="6758" w:type="dxa"/>
            <w:tcBorders>
              <w:top w:val="nil"/>
              <w:left w:val="nil"/>
              <w:bottom w:val="nil"/>
              <w:right w:val="nil"/>
            </w:tcBorders>
          </w:tcPr>
          <w:p w14:paraId="662DB8DE" w14:textId="77777777" w:rsidR="00000000" w:rsidRDefault="00000000">
            <w:pPr>
              <w:spacing w:line="480" w:lineRule="auto"/>
            </w:pPr>
            <w:r>
              <w:t>[</w:t>
            </w:r>
            <w:r>
              <w:t>张宏</w:t>
            </w:r>
            <w:r>
              <w:t xml:space="preserve">, </w:t>
            </w:r>
            <w:r>
              <w:t>兰海鹏</w:t>
            </w:r>
            <w:r>
              <w:t xml:space="preserve">, </w:t>
            </w:r>
            <w:r>
              <w:t>刘扬</w:t>
            </w:r>
            <w:r>
              <w:t xml:space="preserve">, </w:t>
            </w:r>
            <w:r>
              <w:t>廖结安</w:t>
            </w:r>
            <w:r>
              <w:t xml:space="preserve">, </w:t>
            </w:r>
            <w:r>
              <w:t>张永成</w:t>
            </w:r>
            <w:r>
              <w:t xml:space="preserve">, </w:t>
            </w:r>
            <w:r>
              <w:t>唐玉荣</w:t>
            </w:r>
            <w:r>
              <w:t xml:space="preserve">, </w:t>
            </w:r>
            <w:r>
              <w:t>马佳乐</w:t>
            </w:r>
            <w:r>
              <w:t xml:space="preserve">, </w:t>
            </w:r>
            <w:r>
              <w:t>范修文</w:t>
            </w:r>
            <w:r>
              <w:t xml:space="preserve">, </w:t>
            </w:r>
            <w:r>
              <w:t>赵劲飞</w:t>
            </w:r>
            <w:r>
              <w:t xml:space="preserve">, </w:t>
            </w:r>
            <w:r>
              <w:t>牛浩</w:t>
            </w:r>
            <w:r>
              <w:t xml:space="preserve">, </w:t>
            </w:r>
            <w:r>
              <w:t>王震涛</w:t>
            </w:r>
            <w:r>
              <w:t xml:space="preserve">, </w:t>
            </w:r>
            <w:r>
              <w:t>方玉婷</w:t>
            </w:r>
            <w:r>
              <w:t>]</w:t>
            </w:r>
          </w:p>
        </w:tc>
      </w:tr>
      <w:tr w:rsidR="006A6257" w14:paraId="1819D8DB" w14:textId="77777777">
        <w:trPr>
          <w:trHeight w:val="474"/>
        </w:trPr>
        <w:tc>
          <w:tcPr>
            <w:tcW w:w="2476" w:type="dxa"/>
            <w:tcBorders>
              <w:top w:val="nil"/>
              <w:left w:val="nil"/>
              <w:bottom w:val="nil"/>
              <w:right w:val="nil"/>
            </w:tcBorders>
          </w:tcPr>
          <w:p w14:paraId="17B87813" w14:textId="77777777" w:rsidR="00000000" w:rsidRDefault="00000000">
            <w:pPr>
              <w:spacing w:line="480" w:lineRule="auto"/>
              <w:jc w:val="right"/>
            </w:pPr>
            <w:r>
              <w:rPr>
                <w:rFonts w:hint="eastAsia"/>
              </w:rPr>
              <w:t>主分类号：</w:t>
            </w:r>
          </w:p>
        </w:tc>
        <w:tc>
          <w:tcPr>
            <w:tcW w:w="6758" w:type="dxa"/>
            <w:tcBorders>
              <w:top w:val="nil"/>
              <w:left w:val="nil"/>
              <w:bottom w:val="nil"/>
              <w:right w:val="nil"/>
            </w:tcBorders>
          </w:tcPr>
          <w:p w14:paraId="1AE32BF3" w14:textId="77777777" w:rsidR="00000000" w:rsidRDefault="00000000">
            <w:pPr>
              <w:tabs>
                <w:tab w:val="left" w:pos="2400"/>
              </w:tabs>
              <w:spacing w:line="480" w:lineRule="auto"/>
            </w:pPr>
            <w:r>
              <w:t>A01B43/00</w:t>
            </w:r>
          </w:p>
        </w:tc>
      </w:tr>
      <w:tr w:rsidR="006A6257" w14:paraId="5E012F68" w14:textId="77777777">
        <w:trPr>
          <w:trHeight w:val="474"/>
        </w:trPr>
        <w:tc>
          <w:tcPr>
            <w:tcW w:w="2476" w:type="dxa"/>
            <w:tcBorders>
              <w:top w:val="nil"/>
              <w:left w:val="nil"/>
              <w:bottom w:val="nil"/>
              <w:right w:val="nil"/>
            </w:tcBorders>
          </w:tcPr>
          <w:p w14:paraId="32A0F94A" w14:textId="77777777" w:rsidR="00000000" w:rsidRDefault="00000000">
            <w:pPr>
              <w:spacing w:line="480" w:lineRule="auto"/>
              <w:jc w:val="right"/>
            </w:pPr>
            <w:r>
              <w:rPr>
                <w:rFonts w:hint="eastAsia"/>
              </w:rPr>
              <w:t>公开（公告）号：</w:t>
            </w:r>
          </w:p>
        </w:tc>
        <w:tc>
          <w:tcPr>
            <w:tcW w:w="6758" w:type="dxa"/>
            <w:tcBorders>
              <w:top w:val="nil"/>
              <w:left w:val="nil"/>
              <w:bottom w:val="nil"/>
              <w:right w:val="nil"/>
            </w:tcBorders>
          </w:tcPr>
          <w:p w14:paraId="64885A68" w14:textId="77777777" w:rsidR="00000000" w:rsidRDefault="00000000">
            <w:pPr>
              <w:tabs>
                <w:tab w:val="left" w:pos="2400"/>
              </w:tabs>
              <w:spacing w:line="480" w:lineRule="auto"/>
            </w:pPr>
            <w:r>
              <w:t>CN109819698A</w:t>
            </w:r>
          </w:p>
        </w:tc>
      </w:tr>
      <w:tr w:rsidR="006A6257" w14:paraId="175DC118" w14:textId="77777777">
        <w:trPr>
          <w:trHeight w:val="474"/>
        </w:trPr>
        <w:tc>
          <w:tcPr>
            <w:tcW w:w="2476" w:type="dxa"/>
            <w:tcBorders>
              <w:top w:val="nil"/>
              <w:left w:val="nil"/>
              <w:bottom w:val="nil"/>
              <w:right w:val="nil"/>
            </w:tcBorders>
          </w:tcPr>
          <w:p w14:paraId="6E848AA3" w14:textId="77777777" w:rsidR="00000000" w:rsidRDefault="00000000">
            <w:pPr>
              <w:spacing w:line="480" w:lineRule="auto"/>
              <w:jc w:val="right"/>
            </w:pPr>
            <w:r>
              <w:rPr>
                <w:rFonts w:hint="eastAsia"/>
              </w:rPr>
              <w:t>公开（公告）日：</w:t>
            </w:r>
          </w:p>
        </w:tc>
        <w:tc>
          <w:tcPr>
            <w:tcW w:w="6758" w:type="dxa"/>
            <w:tcBorders>
              <w:top w:val="nil"/>
              <w:left w:val="nil"/>
              <w:bottom w:val="nil"/>
              <w:right w:val="nil"/>
            </w:tcBorders>
          </w:tcPr>
          <w:p w14:paraId="6DC77198" w14:textId="77777777" w:rsidR="00000000" w:rsidRDefault="00000000">
            <w:pPr>
              <w:tabs>
                <w:tab w:val="left" w:pos="2400"/>
              </w:tabs>
              <w:spacing w:line="480" w:lineRule="auto"/>
            </w:pPr>
            <w:r>
              <w:t>20190531</w:t>
            </w:r>
          </w:p>
        </w:tc>
      </w:tr>
      <w:tr w:rsidR="006A6257" w14:paraId="5958574A" w14:textId="77777777">
        <w:trPr>
          <w:trHeight w:val="474"/>
        </w:trPr>
        <w:tc>
          <w:tcPr>
            <w:tcW w:w="2476" w:type="dxa"/>
            <w:tcBorders>
              <w:top w:val="nil"/>
              <w:left w:val="nil"/>
              <w:bottom w:val="nil"/>
              <w:right w:val="nil"/>
            </w:tcBorders>
          </w:tcPr>
          <w:p w14:paraId="02C5665A" w14:textId="77777777" w:rsidR="00000000" w:rsidRDefault="00000000">
            <w:pPr>
              <w:spacing w:line="480" w:lineRule="auto"/>
              <w:jc w:val="right"/>
            </w:pPr>
            <w:r>
              <w:rPr>
                <w:rFonts w:hint="eastAsia"/>
              </w:rPr>
              <w:t>代理机构：</w:t>
            </w:r>
          </w:p>
        </w:tc>
        <w:tc>
          <w:tcPr>
            <w:tcW w:w="6758" w:type="dxa"/>
            <w:tcBorders>
              <w:top w:val="nil"/>
              <w:left w:val="nil"/>
              <w:bottom w:val="nil"/>
              <w:right w:val="nil"/>
            </w:tcBorders>
          </w:tcPr>
          <w:p w14:paraId="69F439C0" w14:textId="77777777" w:rsidR="00000000" w:rsidRDefault="00000000">
            <w:pPr>
              <w:tabs>
                <w:tab w:val="left" w:pos="2400"/>
              </w:tabs>
              <w:spacing w:line="480" w:lineRule="auto"/>
            </w:pPr>
            <w:r>
              <w:t>成都天汇致远知识产权代理事务所（普通合伙）</w:t>
            </w:r>
          </w:p>
        </w:tc>
      </w:tr>
      <w:tr w:rsidR="006A6257" w14:paraId="189E1E49" w14:textId="77777777">
        <w:trPr>
          <w:trHeight w:val="491"/>
        </w:trPr>
        <w:tc>
          <w:tcPr>
            <w:tcW w:w="2476" w:type="dxa"/>
            <w:tcBorders>
              <w:top w:val="nil"/>
              <w:left w:val="nil"/>
              <w:bottom w:val="nil"/>
              <w:right w:val="nil"/>
            </w:tcBorders>
          </w:tcPr>
          <w:p w14:paraId="2D1988E0" w14:textId="77777777" w:rsidR="00000000" w:rsidRDefault="00000000">
            <w:pPr>
              <w:spacing w:line="480" w:lineRule="auto"/>
              <w:jc w:val="right"/>
            </w:pPr>
            <w:r>
              <w:rPr>
                <w:rFonts w:hint="eastAsia"/>
              </w:rPr>
              <w:t>代理人：</w:t>
            </w:r>
          </w:p>
        </w:tc>
        <w:tc>
          <w:tcPr>
            <w:tcW w:w="6758" w:type="dxa"/>
            <w:tcBorders>
              <w:top w:val="nil"/>
              <w:left w:val="nil"/>
              <w:bottom w:val="nil"/>
              <w:right w:val="nil"/>
            </w:tcBorders>
          </w:tcPr>
          <w:p w14:paraId="47A4CECB" w14:textId="77777777" w:rsidR="00000000" w:rsidRDefault="00000000">
            <w:pPr>
              <w:tabs>
                <w:tab w:val="left" w:pos="2400"/>
              </w:tabs>
              <w:spacing w:line="480" w:lineRule="auto"/>
            </w:pPr>
            <w:r>
              <w:t>[</w:t>
            </w:r>
            <w:r>
              <w:t>韩晓银</w:t>
            </w:r>
            <w:r>
              <w:t>]</w:t>
            </w:r>
          </w:p>
        </w:tc>
      </w:tr>
    </w:tbl>
    <w:p w14:paraId="04FC9683" w14:textId="77777777" w:rsidR="00000000" w:rsidRDefault="00000000">
      <w:pPr>
        <w:tabs>
          <w:tab w:val="left" w:pos="2400"/>
        </w:tabs>
      </w:pPr>
      <w:r>
        <w:rPr>
          <w:noProof/>
        </w:rPr>
        <mc:AlternateContent>
          <mc:Choice Requires="wps">
            <w:drawing>
              <wp:anchor distT="0" distB="0" distL="114300" distR="114300" simplePos="0" relativeHeight="251658240" behindDoc="0" locked="0" layoutInCell="1" allowOverlap="1" wp14:anchorId="44744A0D" wp14:editId="3C499FE0">
                <wp:simplePos x="0" y="0"/>
                <wp:positionH relativeFrom="column">
                  <wp:posOffset>4676775</wp:posOffset>
                </wp:positionH>
                <wp:positionV relativeFrom="paragraph">
                  <wp:posOffset>1290320</wp:posOffset>
                </wp:positionV>
                <wp:extent cx="1914525" cy="342900"/>
                <wp:effectExtent l="0" t="0" r="0" b="0"/>
                <wp:wrapNone/>
                <wp:docPr id="11" name="文本框 18"/>
                <wp:cNvGraphicFramePr/>
                <a:graphic xmlns:a="http://schemas.openxmlformats.org/drawingml/2006/main">
                  <a:graphicData uri="http://schemas.microsoft.com/office/word/2010/wordprocessingShape">
                    <wps:wsp>
                      <wps:cNvSpPr txBox="1"/>
                      <wps:spPr>
                        <a:xfrm>
                          <a:off x="0" y="0"/>
                          <a:ext cx="1914525" cy="342900"/>
                        </a:xfrm>
                        <a:prstGeom prst="rect">
                          <a:avLst/>
                        </a:prstGeom>
                        <a:noFill/>
                        <a:ln w="15875">
                          <a:noFill/>
                        </a:ln>
                      </wps:spPr>
                      <wps:txbx>
                        <w:txbxContent>
                          <w:p w14:paraId="6EABE477" w14:textId="77777777" w:rsidR="00000000" w:rsidRDefault="00000000">
                            <w:pPr>
                              <w:rPr>
                                <w:rFonts w:ascii="微软雅黑" w:eastAsia="微软雅黑" w:hAnsi="微软雅黑" w:cs="微软雅黑"/>
                                <w:color w:val="BFBFBF"/>
                              </w:rPr>
                            </w:pPr>
                            <w:r>
                              <w:rPr>
                                <w:rFonts w:ascii="微软雅黑" w:eastAsia="微软雅黑" w:hAnsi="微软雅黑" w:cs="微软雅黑" w:hint="eastAsia"/>
                                <w:color w:val="BFBFBF"/>
                              </w:rPr>
                              <w:t>www.patexplorer.com</w:t>
                            </w:r>
                          </w:p>
                        </w:txbxContent>
                      </wps:txbx>
                      <wps:bodyPr wrap="square" anchor="t" upright="1"/>
                    </wps:wsp>
                  </a:graphicData>
                </a:graphic>
              </wp:anchor>
            </w:drawing>
          </mc:Choice>
          <mc:Fallback>
            <w:pict>
              <v:shapetype w14:anchorId="44744A0D" id="_x0000_t202" coordsize="21600,21600" o:spt="202" path="m,l,21600r21600,l21600,xe">
                <v:stroke joinstyle="miter"/>
                <v:path gradientshapeok="t" o:connecttype="rect"/>
              </v:shapetype>
              <v:shape id="文本框 18" o:spid="_x0000_s1026" type="#_x0000_t202" style="position:absolute;margin-left:368.25pt;margin-top:101.6pt;width:150.75pt;height:2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" filled="f" stroked="f" strokeweight="1.25pt">
                <v:textbox>
                  <w:txbxContent>
                    <w:p w14:paraId="6EABE477" w14:textId="77777777" w:rsidR="00000000" w:rsidRDefault="00000000">
                      <w:pPr>
                        <w:rPr>
                          <w:rFonts w:ascii="微软雅黑" w:eastAsia="微软雅黑" w:hAnsi="微软雅黑" w:cs="微软雅黑"/>
                          <w:color w:val="BFBFBF"/>
                        </w:rPr>
                      </w:pPr>
                      <w:r>
                        <w:rPr>
                          <w:rFonts w:ascii="微软雅黑" w:eastAsia="微软雅黑" w:hAnsi="微软雅黑" w:cs="微软雅黑" w:hint="eastAsia"/>
                          <w:color w:val="BFBFBF"/>
                        </w:rPr>
                        <w:t>www.patexplorer.com</w:t>
                      </w:r>
                    </w:p>
                  </w:txbxContent>
                </v:textbox>
              </v:shape>
            </w:pict>
          </mc:Fallback>
        </mc:AlternateContent>
      </w:r>
      <w:r>
        <w:br w:type="page"/>
      </w:r>
    </w:p>
    <w:tbl>
      <w:tblPr>
        <w:tblW w:w="8522" w:type="dxa"/>
        <w:tblBorders>
          <w:top w:val="single" w:sz="12" w:space="0" w:color="000000"/>
          <w:bottom w:val="single" w:sz="12" w:space="0" w:color="000000"/>
        </w:tblBorders>
        <w:tblLayout w:type="fixed"/>
        <w:tblLook w:val="04A0" w:firstRow="1" w:lastRow="0" w:firstColumn="1" w:lastColumn="0" w:noHBand="0" w:noVBand="1"/>
      </w:tblPr>
      <w:tblGrid>
        <w:gridCol w:w="2376"/>
        <w:gridCol w:w="3305"/>
        <w:gridCol w:w="2841"/>
      </w:tblGrid>
      <w:tr w:rsidR="006A6257" w14:paraId="122E3CD5" w14:textId="77777777">
        <w:tc>
          <w:tcPr>
            <w:tcW w:w="8522" w:type="dxa"/>
            <w:gridSpan w:val="3"/>
            <w:tcBorders>
              <w:top w:val="nil"/>
              <w:bottom w:val="nil"/>
              <w:right w:val="nil"/>
            </w:tcBorders>
          </w:tcPr>
          <w:p w14:paraId="6926D7B5" w14:textId="77777777" w:rsidR="00000000" w:rsidRDefault="00000000">
            <w:pPr>
              <w:rPr>
                <w:rFonts w:ascii="宋体" w:hAnsi="宋体" w:cs="宋体"/>
                <w:b/>
                <w:iCs/>
                <w:color w:val="000000"/>
                <w:sz w:val="30"/>
              </w:rPr>
            </w:pPr>
            <w:r>
              <w:rPr>
                <w:rFonts w:ascii="宋体" w:hAnsi="宋体" w:cs="宋体"/>
                <w:b/>
                <w:iCs/>
                <w:color w:val="000000"/>
                <w:sz w:val="30"/>
              </w:rPr>
              <w:lastRenderedPageBreak/>
              <w:t>（19）中</w:t>
            </w:r>
            <w:r>
              <w:rPr>
                <w:rFonts w:ascii="宋体" w:hAnsi="宋体" w:cs="宋体" w:hint="eastAsia"/>
                <w:b/>
                <w:iCs/>
                <w:color w:val="000000"/>
                <w:sz w:val="30"/>
              </w:rPr>
              <w:t>华</w:t>
            </w:r>
            <w:r>
              <w:rPr>
                <w:rFonts w:ascii="宋体" w:hAnsi="宋体" w:cs="宋体"/>
                <w:b/>
                <w:iCs/>
                <w:color w:val="000000"/>
                <w:sz w:val="30"/>
              </w:rPr>
              <w:t>人民共和国国家知识产权局</w:t>
            </w:r>
          </w:p>
        </w:tc>
      </w:tr>
      <w:tr w:rsidR="006A6257" w14:paraId="08A00BF2" w14:textId="77777777">
        <w:tc>
          <w:tcPr>
            <w:tcW w:w="2376" w:type="dxa"/>
            <w:vMerge w:val="restart"/>
            <w:tcBorders>
              <w:top w:val="nil"/>
              <w:right w:val="nil"/>
            </w:tcBorders>
          </w:tcPr>
          <w:p w14:paraId="12E07772" w14:textId="77777777" w:rsidR="00000000" w:rsidRDefault="00000000">
            <w:pPr>
              <w:rPr>
                <w:rFonts w:ascii="宋体" w:hAnsi="宋体" w:cs="宋体"/>
                <w:color w:val="000000"/>
                <w:sz w:val="30"/>
              </w:rPr>
            </w:pPr>
            <w:r>
              <w:rPr>
                <w:rFonts w:ascii="宋体" w:hAnsi="宋体" w:cs="宋体"/>
                <w:noProof/>
                <w:color w:val="000000"/>
                <w:sz w:val="30"/>
              </w:rPr>
              <w:drawing>
                <wp:inline distT="0" distB="0" distL="114300" distR="114300" wp14:anchorId="6F873554" wp14:editId="3115D95E">
                  <wp:extent cx="914400" cy="7620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914400" cy="762000"/>
                          </a:xfrm>
                          <a:prstGeom prst="rect">
                            <a:avLst/>
                          </a:prstGeom>
                          <a:noFill/>
                          <a:ln w="9525">
                            <a:noFill/>
                          </a:ln>
                        </pic:spPr>
                      </pic:pic>
                    </a:graphicData>
                  </a:graphic>
                </wp:inline>
              </w:drawing>
            </w:r>
          </w:p>
        </w:tc>
        <w:tc>
          <w:tcPr>
            <w:tcW w:w="3305" w:type="dxa"/>
            <w:tcBorders>
              <w:top w:val="nil"/>
              <w:left w:val="nil"/>
            </w:tcBorders>
          </w:tcPr>
          <w:p w14:paraId="48530F81" w14:textId="77777777" w:rsidR="00000000" w:rsidRDefault="00000000">
            <w:pPr>
              <w:rPr>
                <w:rFonts w:ascii="宋体" w:hAnsi="宋体" w:cs="宋体"/>
                <w:color w:val="000000"/>
                <w:sz w:val="30"/>
              </w:rPr>
            </w:pPr>
          </w:p>
        </w:tc>
        <w:tc>
          <w:tcPr>
            <w:tcW w:w="2841" w:type="dxa"/>
            <w:tcBorders>
              <w:top w:val="nil"/>
            </w:tcBorders>
          </w:tcPr>
          <w:p w14:paraId="35869F75" w14:textId="77777777" w:rsidR="00000000" w:rsidRDefault="00000000">
            <w:pPr>
              <w:jc w:val="center"/>
              <w:rPr>
                <w:rFonts w:ascii="宋体" w:hAnsi="宋体" w:cs="宋体"/>
                <w:color w:val="000000"/>
                <w:sz w:val="30"/>
              </w:rPr>
            </w:pPr>
          </w:p>
        </w:tc>
      </w:tr>
      <w:tr w:rsidR="006A6257" w14:paraId="27F481BC" w14:textId="77777777">
        <w:tc>
          <w:tcPr>
            <w:tcW w:w="2376" w:type="dxa"/>
            <w:vMerge/>
            <w:tcBorders>
              <w:right w:val="nil"/>
            </w:tcBorders>
          </w:tcPr>
          <w:p w14:paraId="7EF6FE7B" w14:textId="77777777" w:rsidR="00000000" w:rsidRDefault="00000000">
            <w:pPr>
              <w:rPr>
                <w:rFonts w:ascii="宋体" w:hAnsi="宋体" w:cs="宋体"/>
                <w:color w:val="000000"/>
                <w:sz w:val="30"/>
              </w:rPr>
            </w:pPr>
          </w:p>
        </w:tc>
        <w:tc>
          <w:tcPr>
            <w:tcW w:w="6146" w:type="dxa"/>
            <w:gridSpan w:val="2"/>
            <w:tcBorders>
              <w:left w:val="nil"/>
            </w:tcBorders>
          </w:tcPr>
          <w:p w14:paraId="648D9E08" w14:textId="77777777" w:rsidR="00000000" w:rsidRDefault="00000000">
            <w:pPr>
              <w:rPr>
                <w:rFonts w:ascii="宋体" w:hAnsi="宋体" w:cs="宋体"/>
                <w:b/>
                <w:color w:val="000000"/>
                <w:sz w:val="30"/>
              </w:rPr>
            </w:pPr>
            <w:r>
              <w:rPr>
                <w:rFonts w:ascii="宋体" w:hAnsi="宋体" w:cs="宋体"/>
                <w:b/>
                <w:color w:val="000000"/>
                <w:sz w:val="30"/>
              </w:rPr>
              <w:t>（12）</w:t>
            </w:r>
            <w:r>
              <w:rPr>
                <w:rFonts w:ascii="宋体" w:hAnsi="宋体" w:cs="宋体" w:hint="eastAsia"/>
                <w:b/>
                <w:color w:val="000000"/>
                <w:sz w:val="30"/>
              </w:rPr>
              <w:t>发明</w:t>
            </w:r>
            <w:r>
              <w:rPr>
                <w:rFonts w:ascii="宋体" w:hAnsi="宋体" w:cs="宋体"/>
                <w:b/>
                <w:color w:val="000000"/>
                <w:sz w:val="30"/>
              </w:rPr>
              <w:t>专利</w:t>
            </w:r>
            <w:r>
              <w:rPr>
                <w:rFonts w:ascii="宋体" w:hAnsi="宋体" w:cs="宋体" w:hint="eastAsia"/>
                <w:b/>
                <w:color w:val="000000"/>
                <w:sz w:val="30"/>
              </w:rPr>
              <w:t>申请</w:t>
            </w:r>
          </w:p>
        </w:tc>
      </w:tr>
      <w:tr w:rsidR="006A6257" w14:paraId="32A459E3" w14:textId="77777777">
        <w:tc>
          <w:tcPr>
            <w:tcW w:w="8522" w:type="dxa"/>
            <w:gridSpan w:val="3"/>
            <w:tcBorders>
              <w:right w:val="nil"/>
            </w:tcBorders>
          </w:tcPr>
          <w:p w14:paraId="6A21C131" w14:textId="77777777" w:rsidR="00000000" w:rsidRDefault="00000000">
            <w:pPr>
              <w:jc w:val="right"/>
              <w:rPr>
                <w:rFonts w:ascii="宋体" w:hAnsi="宋体" w:cs="宋体"/>
                <w:color w:val="000000"/>
                <w:sz w:val="30"/>
              </w:rPr>
            </w:pPr>
            <w:r>
              <w:rPr>
                <w:rFonts w:ascii="宋体" w:hAnsi="宋体" w:cs="宋体"/>
                <w:b/>
                <w:color w:val="000000"/>
                <w:sz w:val="22"/>
              </w:rPr>
              <w:t>（10）</w:t>
            </w:r>
            <w:r>
              <w:rPr>
                <w:rFonts w:ascii="宋体" w:hAnsi="宋体" w:cs="宋体" w:hint="eastAsia"/>
                <w:b/>
                <w:color w:val="000000"/>
                <w:sz w:val="22"/>
              </w:rPr>
              <w:t>申请</w:t>
            </w:r>
            <w:r>
              <w:rPr>
                <w:rFonts w:ascii="宋体" w:hAnsi="宋体" w:cs="宋体"/>
                <w:b/>
                <w:color w:val="000000"/>
                <w:sz w:val="22"/>
              </w:rPr>
              <w:t>公</w:t>
            </w:r>
            <w:r>
              <w:rPr>
                <w:rFonts w:ascii="宋体" w:hAnsi="宋体" w:cs="宋体" w:hint="eastAsia"/>
                <w:b/>
                <w:color w:val="000000"/>
                <w:sz w:val="22"/>
              </w:rPr>
              <w:t>布</w:t>
            </w:r>
            <w:r>
              <w:rPr>
                <w:rFonts w:ascii="宋体" w:hAnsi="宋体" w:cs="宋体"/>
                <w:b/>
                <w:color w:val="000000"/>
                <w:sz w:val="22"/>
              </w:rPr>
              <w:t>号</w:t>
            </w:r>
            <w:r>
              <w:rPr>
                <w:rFonts w:ascii="宋体" w:hAnsi="宋体" w:cs="宋体"/>
                <w:color w:val="000000"/>
                <w:sz w:val="22"/>
              </w:rPr>
              <w:t xml:space="preserve"> CN109819698A</w:t>
            </w:r>
          </w:p>
          <w:p w14:paraId="2BFD61F9" w14:textId="77777777" w:rsidR="00000000" w:rsidRDefault="00000000">
            <w:pPr>
              <w:jc w:val="right"/>
              <w:rPr>
                <w:rFonts w:ascii="宋体" w:hAnsi="宋体" w:cs="宋体"/>
                <w:color w:val="000000"/>
                <w:sz w:val="30"/>
              </w:rPr>
            </w:pPr>
            <w:r>
              <w:rPr>
                <w:rFonts w:ascii="宋体" w:hAnsi="宋体" w:cs="宋体"/>
                <w:b/>
                <w:color w:val="000000"/>
                <w:sz w:val="22"/>
              </w:rPr>
              <w:t>（45）</w:t>
            </w:r>
            <w:r>
              <w:rPr>
                <w:rFonts w:ascii="宋体" w:hAnsi="宋体" w:cs="宋体" w:hint="eastAsia"/>
                <w:b/>
                <w:color w:val="000000"/>
                <w:sz w:val="22"/>
              </w:rPr>
              <w:t>申请</w:t>
            </w:r>
            <w:r>
              <w:rPr>
                <w:rFonts w:ascii="宋体" w:hAnsi="宋体" w:cs="宋体"/>
                <w:b/>
                <w:color w:val="000000"/>
                <w:sz w:val="22"/>
              </w:rPr>
              <w:t>公</w:t>
            </w:r>
            <w:r>
              <w:rPr>
                <w:rFonts w:ascii="宋体" w:hAnsi="宋体" w:cs="宋体" w:hint="eastAsia"/>
                <w:b/>
                <w:color w:val="000000"/>
                <w:sz w:val="22"/>
              </w:rPr>
              <w:t>布</w:t>
            </w:r>
            <w:r>
              <w:rPr>
                <w:rFonts w:ascii="宋体" w:hAnsi="宋体" w:cs="宋体"/>
                <w:b/>
                <w:color w:val="000000"/>
                <w:sz w:val="22"/>
              </w:rPr>
              <w:t>日</w:t>
            </w:r>
            <w:r>
              <w:rPr>
                <w:rFonts w:ascii="宋体" w:hAnsi="宋体" w:cs="宋体"/>
                <w:color w:val="000000"/>
                <w:sz w:val="22"/>
              </w:rPr>
              <w:t xml:space="preserve"> 20190531</w:t>
            </w:r>
          </w:p>
        </w:tc>
      </w:tr>
    </w:tbl>
    <w:p w14:paraId="6619176E" w14:textId="77777777" w:rsidR="00000000" w:rsidRDefault="00000000">
      <w:pPr>
        <w:rPr>
          <w:rFonts w:ascii="宋体" w:hAnsi="宋体" w:cs="宋体"/>
          <w:color w:val="000000"/>
          <w:sz w:val="10"/>
          <w:szCs w:val="10"/>
        </w:rPr>
      </w:pPr>
    </w:p>
    <w:tbl>
      <w:tblPr>
        <w:tblW w:w="8522" w:type="dxa"/>
        <w:tblLayout w:type="fixed"/>
        <w:tblLook w:val="04A0" w:firstRow="1" w:lastRow="0" w:firstColumn="1" w:lastColumn="0" w:noHBand="0" w:noVBand="1"/>
      </w:tblPr>
      <w:tblGrid>
        <w:gridCol w:w="4261"/>
        <w:gridCol w:w="4261"/>
      </w:tblGrid>
      <w:tr w:rsidR="006A6257" w14:paraId="52413A5F" w14:textId="77777777">
        <w:trPr>
          <w:trHeight w:val="4540"/>
        </w:trPr>
        <w:tc>
          <w:tcPr>
            <w:tcW w:w="4261" w:type="dxa"/>
          </w:tcPr>
          <w:p w14:paraId="6BA4B91D" w14:textId="77777777" w:rsidR="00000000" w:rsidRDefault="00000000">
            <w:pPr>
              <w:rPr>
                <w:rFonts w:ascii="宋体" w:hAnsi="宋体" w:cs="宋体"/>
                <w:color w:val="000000"/>
                <w:sz w:val="22"/>
              </w:rPr>
            </w:pPr>
            <w:r>
              <w:rPr>
                <w:rFonts w:ascii="宋体" w:hAnsi="宋体" w:cs="宋体"/>
                <w:b/>
                <w:color w:val="000000"/>
                <w:sz w:val="22"/>
              </w:rPr>
              <w:t>（21）申请号</w:t>
            </w:r>
            <w:r>
              <w:rPr>
                <w:rFonts w:ascii="宋体" w:hAnsi="宋体" w:cs="宋体"/>
                <w:color w:val="000000"/>
                <w:sz w:val="22"/>
              </w:rPr>
              <w:t xml:space="preserve"> CN201910183253.X</w:t>
            </w:r>
          </w:p>
          <w:p w14:paraId="295E8BCB" w14:textId="77777777" w:rsidR="00000000" w:rsidRDefault="00000000">
            <w:pPr>
              <w:rPr>
                <w:rFonts w:ascii="宋体" w:hAnsi="宋体" w:cs="宋体"/>
                <w:color w:val="000000"/>
                <w:sz w:val="22"/>
              </w:rPr>
            </w:pPr>
          </w:p>
          <w:p w14:paraId="2B25A0C5" w14:textId="77777777" w:rsidR="00000000" w:rsidRDefault="00000000">
            <w:pPr>
              <w:rPr>
                <w:rFonts w:ascii="宋体" w:hAnsi="宋体" w:cs="宋体"/>
                <w:color w:val="000000"/>
                <w:sz w:val="22"/>
              </w:rPr>
            </w:pPr>
            <w:r>
              <w:rPr>
                <w:rFonts w:ascii="宋体" w:hAnsi="宋体" w:cs="宋体"/>
                <w:b/>
                <w:color w:val="000000"/>
                <w:sz w:val="22"/>
              </w:rPr>
              <w:t>（22）申请日</w:t>
            </w:r>
            <w:r>
              <w:rPr>
                <w:rFonts w:ascii="宋体" w:hAnsi="宋体" w:cs="宋体"/>
                <w:color w:val="000000"/>
                <w:sz w:val="22"/>
              </w:rPr>
              <w:t xml:space="preserve"> 20190312</w:t>
            </w:r>
          </w:p>
          <w:p w14:paraId="5D957DFB" w14:textId="77777777" w:rsidR="00000000" w:rsidRDefault="00000000">
            <w:pPr>
              <w:rPr>
                <w:rFonts w:ascii="宋体" w:hAnsi="宋体" w:cs="宋体"/>
                <w:color w:val="000000"/>
                <w:sz w:val="22"/>
              </w:rPr>
            </w:pPr>
          </w:p>
          <w:p w14:paraId="4B0EECE9" w14:textId="77777777" w:rsidR="00000000" w:rsidRDefault="00000000">
            <w:pPr>
              <w:rPr>
                <w:rFonts w:ascii="宋体" w:hAnsi="宋体" w:cs="宋体"/>
                <w:color w:val="000000"/>
                <w:sz w:val="22"/>
              </w:rPr>
            </w:pPr>
            <w:r>
              <w:rPr>
                <w:rFonts w:ascii="宋体" w:hAnsi="宋体" w:cs="宋体"/>
                <w:b/>
                <w:color w:val="000000"/>
                <w:sz w:val="22"/>
              </w:rPr>
              <w:t>（7</w:t>
            </w:r>
            <w:r>
              <w:rPr>
                <w:rFonts w:ascii="宋体" w:hAnsi="宋体" w:cs="宋体" w:hint="eastAsia"/>
                <w:b/>
                <w:color w:val="000000"/>
                <w:sz w:val="22"/>
              </w:rPr>
              <w:t>1</w:t>
            </w:r>
            <w:r>
              <w:rPr>
                <w:rFonts w:ascii="宋体" w:hAnsi="宋体" w:cs="宋体"/>
                <w:b/>
                <w:color w:val="000000"/>
                <w:sz w:val="22"/>
              </w:rPr>
              <w:t>）</w:t>
            </w:r>
            <w:r>
              <w:rPr>
                <w:rFonts w:ascii="宋体" w:hAnsi="宋体" w:cs="宋体" w:hint="eastAsia"/>
                <w:b/>
                <w:color w:val="000000"/>
                <w:sz w:val="22"/>
              </w:rPr>
              <w:t>申请人</w:t>
            </w:r>
            <w:r>
              <w:rPr>
                <w:rFonts w:ascii="宋体" w:hAnsi="宋体" w:cs="宋体"/>
                <w:color w:val="000000"/>
                <w:sz w:val="22"/>
              </w:rPr>
              <w:t xml:space="preserve"> [塔里木大学]</w:t>
            </w:r>
          </w:p>
          <w:p w14:paraId="16A3819C" w14:textId="77777777" w:rsidR="00000000" w:rsidRDefault="00000000">
            <w:pPr>
              <w:rPr>
                <w:rFonts w:ascii="宋体" w:hAnsi="宋体" w:cs="宋体"/>
                <w:color w:val="000000"/>
                <w:sz w:val="22"/>
              </w:rPr>
            </w:pPr>
          </w:p>
          <w:p w14:paraId="19B004C8" w14:textId="77777777" w:rsidR="00000000" w:rsidRDefault="00000000">
            <w:pPr>
              <w:ind w:firstLineChars="200" w:firstLine="442"/>
              <w:rPr>
                <w:rFonts w:ascii="宋体" w:hAnsi="宋体" w:cs="宋体"/>
                <w:color w:val="000000"/>
                <w:sz w:val="22"/>
              </w:rPr>
            </w:pPr>
            <w:r>
              <w:rPr>
                <w:rFonts w:ascii="宋体" w:hAnsi="宋体" w:cs="宋体"/>
                <w:b/>
                <w:color w:val="000000"/>
                <w:sz w:val="22"/>
              </w:rPr>
              <w:t>地址</w:t>
            </w:r>
            <w:r>
              <w:rPr>
                <w:rFonts w:ascii="宋体" w:hAnsi="宋体" w:cs="宋体"/>
                <w:color w:val="000000"/>
                <w:sz w:val="22"/>
              </w:rPr>
              <w:t xml:space="preserve"> 新疆维吾尔自治区阿拉尔市虹桥南路705号</w:t>
            </w:r>
          </w:p>
          <w:p w14:paraId="10B42E99" w14:textId="77777777" w:rsidR="00000000" w:rsidRDefault="00000000">
            <w:pPr>
              <w:ind w:firstLineChars="200" w:firstLine="440"/>
              <w:rPr>
                <w:rFonts w:ascii="宋体" w:hAnsi="宋体" w:cs="宋体"/>
                <w:color w:val="000000"/>
                <w:sz w:val="22"/>
              </w:rPr>
            </w:pPr>
          </w:p>
          <w:p w14:paraId="6B6C5110" w14:textId="77777777" w:rsidR="00000000" w:rsidRDefault="00000000">
            <w:pPr>
              <w:rPr>
                <w:rFonts w:ascii="宋体" w:hAnsi="宋体" w:cs="宋体"/>
                <w:color w:val="000000"/>
                <w:sz w:val="22"/>
              </w:rPr>
            </w:pPr>
            <w:r>
              <w:rPr>
                <w:rFonts w:ascii="宋体" w:hAnsi="宋体" w:cs="宋体" w:hint="eastAsia"/>
                <w:b/>
                <w:color w:val="000000"/>
                <w:sz w:val="22"/>
              </w:rPr>
              <w:t xml:space="preserve">（72）发明人 </w:t>
            </w:r>
            <w:r>
              <w:rPr>
                <w:rFonts w:ascii="宋体" w:hAnsi="宋体" w:cs="宋体"/>
                <w:color w:val="000000"/>
                <w:sz w:val="22"/>
              </w:rPr>
              <w:t>[张宏, 兰海鹏, 刘扬, 廖结安, 张永成, 唐玉荣, 马佳乐, 范修文, 赵劲飞, 牛浩, 王震涛, 方玉婷]</w:t>
            </w:r>
          </w:p>
          <w:p w14:paraId="356EB678" w14:textId="77777777" w:rsidR="00000000" w:rsidRDefault="00000000">
            <w:pPr>
              <w:rPr>
                <w:rFonts w:ascii="宋体" w:hAnsi="宋体" w:cs="宋体"/>
                <w:b/>
                <w:color w:val="000000"/>
                <w:sz w:val="22"/>
              </w:rPr>
            </w:pPr>
          </w:p>
          <w:p w14:paraId="735AE38C" w14:textId="77777777" w:rsidR="00000000" w:rsidRDefault="00000000">
            <w:pPr>
              <w:rPr>
                <w:rFonts w:ascii="宋体" w:hAnsi="宋体" w:cs="宋体"/>
                <w:color w:val="000000"/>
                <w:sz w:val="22"/>
              </w:rPr>
            </w:pPr>
            <w:r>
              <w:rPr>
                <w:rFonts w:ascii="宋体" w:hAnsi="宋体" w:cs="宋体" w:hint="eastAsia"/>
                <w:b/>
                <w:color w:val="000000"/>
                <w:sz w:val="22"/>
              </w:rPr>
              <w:t xml:space="preserve">（74）专利代理机构 </w:t>
            </w:r>
            <w:r>
              <w:rPr>
                <w:rFonts w:ascii="宋体" w:hAnsi="宋体" w:cs="宋体"/>
                <w:color w:val="000000"/>
                <w:sz w:val="22"/>
              </w:rPr>
              <w:t>成都天汇致远知识产权代理事务所（普通合伙）</w:t>
            </w:r>
          </w:p>
          <w:p w14:paraId="00D8566B" w14:textId="77777777" w:rsidR="00000000" w:rsidRDefault="00000000">
            <w:pPr>
              <w:rPr>
                <w:rFonts w:ascii="宋体" w:hAnsi="宋体" w:cs="宋体"/>
                <w:b/>
                <w:color w:val="000000"/>
                <w:sz w:val="22"/>
              </w:rPr>
            </w:pPr>
          </w:p>
          <w:p w14:paraId="0677F15C" w14:textId="77777777" w:rsidR="00000000" w:rsidRDefault="00000000">
            <w:pPr>
              <w:rPr>
                <w:rFonts w:ascii="宋体" w:hAnsi="宋体" w:cs="宋体"/>
                <w:color w:val="000000"/>
                <w:sz w:val="22"/>
              </w:rPr>
            </w:pPr>
            <w:r>
              <w:rPr>
                <w:rFonts w:ascii="宋体" w:hAnsi="宋体" w:cs="宋体" w:hint="eastAsia"/>
                <w:b/>
                <w:color w:val="000000"/>
                <w:sz w:val="22"/>
              </w:rPr>
              <w:t xml:space="preserve">      代理人 </w:t>
            </w:r>
            <w:r>
              <w:rPr>
                <w:rFonts w:ascii="宋体" w:hAnsi="宋体" w:cs="宋体"/>
                <w:color w:val="000000"/>
                <w:sz w:val="22"/>
              </w:rPr>
              <w:t>[韩晓银]</w:t>
            </w:r>
          </w:p>
        </w:tc>
        <w:tc>
          <w:tcPr>
            <w:tcW w:w="4261" w:type="dxa"/>
          </w:tcPr>
          <w:p w14:paraId="42730986" w14:textId="77777777" w:rsidR="00000000" w:rsidRDefault="00000000">
            <w:pPr>
              <w:rPr>
                <w:rFonts w:ascii="宋体" w:hAnsi="宋体" w:cs="宋体"/>
                <w:color w:val="000000"/>
                <w:sz w:val="22"/>
              </w:rPr>
            </w:pPr>
          </w:p>
        </w:tc>
      </w:tr>
      <w:tr w:rsidR="006A6257" w14:paraId="2D0D1C32" w14:textId="77777777">
        <w:trPr>
          <w:trHeight w:val="938"/>
        </w:trPr>
        <w:tc>
          <w:tcPr>
            <w:tcW w:w="4261" w:type="dxa"/>
            <w:tcBorders>
              <w:top w:val="single" w:sz="12" w:space="0" w:color="auto"/>
            </w:tcBorders>
          </w:tcPr>
          <w:p w14:paraId="2B691D30" w14:textId="77777777" w:rsidR="00000000" w:rsidRDefault="00000000">
            <w:pPr>
              <w:rPr>
                <w:rFonts w:ascii="宋体" w:hAnsi="宋体" w:cs="宋体"/>
                <w:color w:val="000000"/>
                <w:sz w:val="22"/>
              </w:rPr>
            </w:pPr>
            <w:r>
              <w:rPr>
                <w:rFonts w:ascii="宋体" w:hAnsi="宋体" w:cs="宋体"/>
                <w:b/>
                <w:color w:val="000000"/>
                <w:sz w:val="22"/>
              </w:rPr>
              <w:t>（54）</w:t>
            </w:r>
            <w:r>
              <w:rPr>
                <w:rFonts w:ascii="宋体" w:hAnsi="宋体" w:cs="宋体" w:hint="eastAsia"/>
                <w:b/>
                <w:color w:val="000000"/>
                <w:sz w:val="22"/>
              </w:rPr>
              <w:t>发明</w:t>
            </w:r>
            <w:r>
              <w:rPr>
                <w:rFonts w:ascii="宋体" w:hAnsi="宋体" w:cs="宋体"/>
                <w:b/>
                <w:color w:val="000000"/>
                <w:sz w:val="22"/>
              </w:rPr>
              <w:t>名称</w:t>
            </w:r>
          </w:p>
          <w:p w14:paraId="7A9189A2" w14:textId="77777777" w:rsidR="00000000" w:rsidRDefault="00000000">
            <w:pPr>
              <w:rPr>
                <w:rFonts w:ascii="宋体" w:hAnsi="宋体" w:cs="宋体"/>
                <w:color w:val="000000"/>
                <w:sz w:val="22"/>
              </w:rPr>
            </w:pPr>
            <w:r>
              <w:rPr>
                <w:rFonts w:ascii="宋体" w:hAnsi="宋体" w:cs="宋体" w:hint="eastAsia"/>
                <w:b/>
                <w:color w:val="000000"/>
                <w:sz w:val="22"/>
              </w:rPr>
              <w:t xml:space="preserve">     </w:t>
            </w:r>
            <w:r>
              <w:rPr>
                <w:rFonts w:ascii="宋体" w:hAnsi="宋体" w:cs="宋体"/>
                <w:color w:val="000000"/>
                <w:sz w:val="22"/>
              </w:rPr>
              <w:t>一种多功能秸秆还田残膜回收一体机</w:t>
            </w:r>
          </w:p>
        </w:tc>
        <w:tc>
          <w:tcPr>
            <w:tcW w:w="4261" w:type="dxa"/>
            <w:vMerge w:val="restart"/>
            <w:tcBorders>
              <w:top w:val="single" w:sz="12" w:space="0" w:color="auto"/>
            </w:tcBorders>
          </w:tcPr>
          <w:p w14:paraId="3C5A0BD4" w14:textId="77777777" w:rsidR="00000000" w:rsidRDefault="00000000">
            <w:pPr>
              <w:rPr>
                <w:rFonts w:ascii="宋体" w:hAnsi="宋体" w:cs="宋体"/>
                <w:color w:val="000000"/>
                <w:sz w:val="22"/>
              </w:rPr>
            </w:pPr>
          </w:p>
          <w:p w14:paraId="6584A725" w14:textId="3642EEF4" w:rsidR="00000000" w:rsidRDefault="009D243A">
            <w:pPr>
              <w:rPr>
                <w:rFonts w:ascii="宋体" w:hAnsi="宋体" w:cs="宋体"/>
                <w:color w:val="000000"/>
                <w:sz w:val="22"/>
              </w:rPr>
            </w:pPr>
            <w:r>
              <w:rPr>
                <w:rFonts w:ascii="宋体" w:hAnsi="宋体" w:cs="宋体"/>
                <w:noProof/>
                <w:color w:val="000000"/>
                <w:sz w:val="22"/>
              </w:rPr>
              <w:drawing>
                <wp:inline distT="0" distB="0" distL="0" distR="0" wp14:anchorId="2E40BCBF" wp14:editId="43FF5A95">
                  <wp:extent cx="2385060" cy="1790700"/>
                  <wp:effectExtent l="0" t="0" r="0" b="0"/>
                  <wp:docPr id="206195390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5060" cy="1790700"/>
                          </a:xfrm>
                          <a:prstGeom prst="rect">
                            <a:avLst/>
                          </a:prstGeom>
                          <a:noFill/>
                          <a:ln>
                            <a:noFill/>
                          </a:ln>
                        </pic:spPr>
                      </pic:pic>
                    </a:graphicData>
                  </a:graphic>
                </wp:inline>
              </w:drawing>
            </w:r>
          </w:p>
        </w:tc>
      </w:tr>
      <w:tr w:rsidR="006A6257" w14:paraId="34715527" w14:textId="77777777">
        <w:trPr>
          <w:trHeight w:val="5384"/>
        </w:trPr>
        <w:tc>
          <w:tcPr>
            <w:tcW w:w="4261" w:type="dxa"/>
          </w:tcPr>
          <w:p w14:paraId="6AFF7743" w14:textId="77777777" w:rsidR="00000000" w:rsidRDefault="00000000">
            <w:pPr>
              <w:rPr>
                <w:rFonts w:ascii="宋体" w:hAnsi="宋体" w:cs="宋体"/>
                <w:color w:val="000000"/>
                <w:sz w:val="22"/>
              </w:rPr>
            </w:pPr>
            <w:r>
              <w:rPr>
                <w:rFonts w:ascii="宋体" w:hAnsi="宋体" w:cs="宋体" w:hint="eastAsia"/>
                <w:b/>
                <w:color w:val="000000"/>
                <w:sz w:val="22"/>
              </w:rPr>
              <w:t>（57）摘要</w:t>
            </w:r>
          </w:p>
          <w:p w14:paraId="658F4205" w14:textId="77777777" w:rsidR="00000000" w:rsidRDefault="00000000">
            <w:pPr>
              <w:rPr>
                <w:rFonts w:ascii="宋体" w:hAnsi="宋体" w:cs="宋体"/>
                <w:color w:val="000000"/>
                <w:sz w:val="22"/>
              </w:rPr>
            </w:pPr>
            <w:r>
              <w:rPr>
                <w:rFonts w:ascii="宋体" w:hAnsi="宋体" w:cs="宋体" w:hint="eastAsia"/>
                <w:color w:val="000000"/>
                <w:sz w:val="22"/>
              </w:rPr>
              <w:t xml:space="preserve">     </w:t>
            </w:r>
            <w:r>
              <w:rPr>
                <w:rFonts w:ascii="宋体" w:hAnsi="宋体" w:cs="宋体"/>
                <w:color w:val="000000"/>
                <w:sz w:val="22"/>
              </w:rPr>
              <w:t>本发明公开了一种多功能秸秆还田残膜回收一体机，包括：包括机架以及沿纵向方向依次设置在所述机架上的秸秆粉碎装置、秸秆还田装置、松土装置、提土装置、碎土装置、分离装置和收集装置；所述秸秆粉碎装置被配置为用于粉碎秸秆；所述秸秆还田装置包括输送风机以及横向设置的秸秆侧移装置、秸秆铺放装置；所述松土装置被配置为用于翻动收集了秸秆后的土壤；所述提土装置被配置为用于收集所述松土装置翻动的土壤并向后纵向输送；所述碎土装置被配置为用于收集并粉碎所述提土装置输送过来的土壤；所述分离装置被配置为用于筛分粉碎后的土壤；所述收集装置被配置为用于收集所述分离装置的筛上物。</w:t>
            </w:r>
          </w:p>
        </w:tc>
        <w:tc>
          <w:tcPr>
            <w:tcW w:w="4261" w:type="dxa"/>
            <w:vMerge/>
          </w:tcPr>
          <w:p w14:paraId="43E49D3F" w14:textId="77777777" w:rsidR="00000000" w:rsidRDefault="00000000">
            <w:pPr>
              <w:rPr>
                <w:rFonts w:ascii="宋体" w:hAnsi="宋体" w:cs="宋体"/>
                <w:color w:val="000000"/>
                <w:sz w:val="22"/>
              </w:rPr>
            </w:pPr>
          </w:p>
        </w:tc>
      </w:tr>
    </w:tbl>
    <w:p w14:paraId="7ADC75C8" w14:textId="77777777" w:rsidR="00000000" w:rsidRDefault="00000000">
      <w:pPr>
        <w:rPr>
          <w:rFonts w:ascii="宋体" w:hAnsi="宋体" w:cs="宋体"/>
          <w:b/>
          <w:color w:val="000000"/>
          <w:sz w:val="32"/>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6A6257" w14:paraId="5EC52215" w14:textId="77777777">
        <w:tc>
          <w:tcPr>
            <w:tcW w:w="8522" w:type="dxa"/>
            <w:tcBorders>
              <w:top w:val="nil"/>
              <w:left w:val="nil"/>
              <w:bottom w:val="single" w:sz="12" w:space="0" w:color="auto"/>
              <w:right w:val="nil"/>
            </w:tcBorders>
          </w:tcPr>
          <w:p w14:paraId="769F77D5" w14:textId="77777777" w:rsidR="00000000" w:rsidRDefault="00000000">
            <w:pPr>
              <w:jc w:val="center"/>
              <w:rPr>
                <w:rFonts w:ascii="宋体" w:hAnsi="宋体" w:cs="宋体"/>
                <w:b/>
                <w:color w:val="000000"/>
                <w:sz w:val="32"/>
              </w:rPr>
            </w:pPr>
            <w:r>
              <w:rPr>
                <w:rFonts w:ascii="宋体" w:hAnsi="宋体" w:cs="宋体" w:hint="eastAsia"/>
                <w:b/>
                <w:color w:val="000000"/>
                <w:sz w:val="32"/>
              </w:rPr>
              <w:t>权 利 要 求 书</w:t>
            </w:r>
          </w:p>
        </w:tc>
      </w:tr>
    </w:tbl>
    <w:p w14:paraId="3B4FFEF8" w14:textId="77777777" w:rsidR="009D243A" w:rsidRDefault="00000000">
      <w:pPr>
        <w:spacing w:line="360" w:lineRule="auto"/>
        <w:ind w:firstLineChars="200" w:firstLine="440"/>
        <w:rPr>
          <w:rFonts w:ascii="宋体" w:hAnsi="宋体" w:cs="宋体"/>
          <w:color w:val="000000"/>
          <w:sz w:val="22"/>
          <w:szCs w:val="22"/>
        </w:rPr>
      </w:pPr>
      <w:r>
        <w:rPr>
          <w:rFonts w:ascii="宋体" w:hAnsi="宋体" w:cs="宋体"/>
          <w:color w:val="000000"/>
          <w:sz w:val="22"/>
          <w:szCs w:val="22"/>
        </w:rPr>
        <w:t xml:space="preserve">1.一种多功能秸秆还田残膜回收一体机，其特征在于，包括机架以及沿纵向方向依次设置在所述机架上的秸秆粉碎装置、秸秆还田装置、松土装置、提土装置、碎土装置、分离装置和收集装置； </w:t>
      </w:r>
    </w:p>
    <w:p w14:paraId="730FDB10" w14:textId="77777777" w:rsidR="009D243A" w:rsidRDefault="00000000">
      <w:pPr>
        <w:spacing w:line="360" w:lineRule="auto"/>
        <w:ind w:firstLineChars="200" w:firstLine="440"/>
        <w:rPr>
          <w:rFonts w:ascii="宋体" w:hAnsi="宋体" w:cs="宋体"/>
          <w:color w:val="000000"/>
          <w:sz w:val="22"/>
          <w:szCs w:val="22"/>
        </w:rPr>
      </w:pPr>
      <w:r>
        <w:rPr>
          <w:rFonts w:ascii="宋体" w:hAnsi="宋体" w:cs="宋体"/>
          <w:color w:val="000000"/>
          <w:sz w:val="22"/>
          <w:szCs w:val="22"/>
        </w:rPr>
        <w:t xml:space="preserve">所述秸秆粉碎装置横向设置在所述机架的前端，所述秸秆粉碎装置被配置为用于粉碎秸秆； </w:t>
      </w:r>
    </w:p>
    <w:p w14:paraId="4FB833D5" w14:textId="17A020E1" w:rsidR="009D243A" w:rsidRDefault="00000000">
      <w:pPr>
        <w:spacing w:line="360" w:lineRule="auto"/>
        <w:ind w:firstLineChars="200" w:firstLine="440"/>
        <w:rPr>
          <w:rFonts w:ascii="宋体" w:hAnsi="宋体" w:cs="宋体"/>
          <w:color w:val="000000"/>
          <w:sz w:val="22"/>
          <w:szCs w:val="22"/>
        </w:rPr>
      </w:pPr>
      <w:r>
        <w:rPr>
          <w:rFonts w:ascii="宋体" w:hAnsi="宋体" w:cs="宋体"/>
          <w:color w:val="000000"/>
          <w:sz w:val="22"/>
          <w:szCs w:val="22"/>
        </w:rPr>
        <w:t>所述秸秆还田装置包括输送风机以及横向设置的秸秆侧移装置、秸秆铺放装置，所述秸秆侧移装置设置在所述秸秆粉碎装置后方用于汇集粉碎后的秸秆，所述秸秆铺放装置设置在所述提土装置、碎土装置或分离装置的后方，所述秸秆铺放装置用于铺设所述秸秆侧移装置收集到的秸秆，所述输送风机的输入端与所述秸秆侧移装置连接，所述输送风机的输出端与所述秸秆铺放装置连接，所述输送风机被配置为用于输送所述</w:t>
      </w:r>
      <w:r w:rsidR="009D243A">
        <w:rPr>
          <w:rFonts w:ascii="宋体" w:hAnsi="宋体"/>
        </w:rPr>
        <w:t>秸秆侧移装置</w:t>
      </w:r>
      <w:r>
        <w:rPr>
          <w:rFonts w:ascii="宋体" w:hAnsi="宋体" w:cs="宋体"/>
          <w:color w:val="000000"/>
          <w:sz w:val="22"/>
          <w:szCs w:val="22"/>
        </w:rPr>
        <w:t xml:space="preserve">收集到的秸秆至所述秸秆铺放装置； </w:t>
      </w:r>
    </w:p>
    <w:p w14:paraId="7EA7717A" w14:textId="77777777" w:rsidR="009D243A" w:rsidRDefault="00000000">
      <w:pPr>
        <w:spacing w:line="360" w:lineRule="auto"/>
        <w:ind w:firstLineChars="200" w:firstLine="440"/>
        <w:rPr>
          <w:rFonts w:ascii="宋体" w:hAnsi="宋体" w:cs="宋体"/>
          <w:color w:val="000000"/>
          <w:sz w:val="22"/>
          <w:szCs w:val="22"/>
        </w:rPr>
      </w:pPr>
      <w:r>
        <w:rPr>
          <w:rFonts w:ascii="宋体" w:hAnsi="宋体" w:cs="宋体"/>
          <w:color w:val="000000"/>
          <w:sz w:val="22"/>
          <w:szCs w:val="22"/>
        </w:rPr>
        <w:t xml:space="preserve">所述松土装置横向设置在所述秸秆侧移装置的后方，所述松土装置被配置为用于翻动收集了秸秆后的土壤； </w:t>
      </w:r>
    </w:p>
    <w:p w14:paraId="6D8CC86F" w14:textId="77777777" w:rsidR="009D243A" w:rsidRDefault="00000000">
      <w:pPr>
        <w:spacing w:line="360" w:lineRule="auto"/>
        <w:ind w:firstLineChars="200" w:firstLine="440"/>
        <w:rPr>
          <w:rFonts w:ascii="宋体" w:hAnsi="宋体" w:cs="宋体"/>
          <w:color w:val="000000"/>
          <w:sz w:val="22"/>
          <w:szCs w:val="22"/>
        </w:rPr>
      </w:pPr>
      <w:r>
        <w:rPr>
          <w:rFonts w:ascii="宋体" w:hAnsi="宋体" w:cs="宋体"/>
          <w:color w:val="000000"/>
          <w:sz w:val="22"/>
          <w:szCs w:val="22"/>
        </w:rPr>
        <w:t xml:space="preserve">所述提土装置横向设置在所述松土装置的后方，所述提土装置被配置为用于收集所述松土装置翻动的土壤并向后纵向输送； </w:t>
      </w:r>
    </w:p>
    <w:p w14:paraId="1617AA8D" w14:textId="77777777" w:rsidR="009D243A" w:rsidRDefault="00000000">
      <w:pPr>
        <w:spacing w:line="360" w:lineRule="auto"/>
        <w:ind w:firstLineChars="200" w:firstLine="440"/>
        <w:rPr>
          <w:rFonts w:ascii="宋体" w:hAnsi="宋体" w:cs="宋体"/>
          <w:color w:val="000000"/>
          <w:sz w:val="22"/>
          <w:szCs w:val="22"/>
        </w:rPr>
      </w:pPr>
      <w:r>
        <w:rPr>
          <w:rFonts w:ascii="宋体" w:hAnsi="宋体" w:cs="宋体"/>
          <w:color w:val="000000"/>
          <w:sz w:val="22"/>
          <w:szCs w:val="22"/>
        </w:rPr>
        <w:t xml:space="preserve">所述碎土装置设置在所述提土装置的后方，所述碎土装置被配置为用于收集并粉碎所述提土装置输送过来的土壤； </w:t>
      </w:r>
    </w:p>
    <w:p w14:paraId="39FC5EAF" w14:textId="77777777" w:rsidR="009D243A" w:rsidRDefault="00000000">
      <w:pPr>
        <w:spacing w:line="360" w:lineRule="auto"/>
        <w:ind w:firstLineChars="200" w:firstLine="440"/>
        <w:rPr>
          <w:rFonts w:ascii="宋体" w:hAnsi="宋体" w:cs="宋体"/>
          <w:color w:val="000000"/>
          <w:sz w:val="22"/>
          <w:szCs w:val="22"/>
        </w:rPr>
      </w:pPr>
      <w:r>
        <w:rPr>
          <w:rFonts w:ascii="宋体" w:hAnsi="宋体" w:cs="宋体"/>
          <w:color w:val="000000"/>
          <w:sz w:val="22"/>
          <w:szCs w:val="22"/>
        </w:rPr>
        <w:t xml:space="preserve">所述分离装置设置在所述碎土装置的下方，所述分离装置被配置为用于筛分粉碎后的土壤； </w:t>
      </w:r>
    </w:p>
    <w:p w14:paraId="28395F92" w14:textId="020ABBB8" w:rsidR="00A90EDE" w:rsidRDefault="00000000">
      <w:pPr>
        <w:spacing w:line="360" w:lineRule="auto"/>
        <w:ind w:firstLineChars="200" w:firstLine="440"/>
        <w:rPr>
          <w:rFonts w:ascii="宋体" w:hAnsi="宋体" w:cs="宋体"/>
          <w:color w:val="000000"/>
          <w:sz w:val="22"/>
          <w:szCs w:val="22"/>
        </w:rPr>
      </w:pPr>
      <w:r>
        <w:rPr>
          <w:rFonts w:ascii="宋体" w:hAnsi="宋体" w:cs="宋体"/>
          <w:color w:val="000000"/>
          <w:sz w:val="22"/>
          <w:szCs w:val="22"/>
        </w:rPr>
        <w:t>所述收集装置设置在所述机架的后端，所述收集装置被配置为用于收集所述分离装置的筛上物</w:t>
      </w:r>
      <w:r w:rsidR="009D243A">
        <w:rPr>
          <w:rFonts w:ascii="宋体" w:hAnsi="宋体" w:cs="宋体" w:hint="eastAsia"/>
          <w:color w:val="000000"/>
          <w:sz w:val="22"/>
          <w:szCs w:val="22"/>
        </w:rPr>
        <w:t>；</w:t>
      </w:r>
    </w:p>
    <w:p w14:paraId="6AB72A89" w14:textId="7A570414" w:rsidR="00A90EDE" w:rsidRDefault="00000000">
      <w:pPr>
        <w:spacing w:line="360" w:lineRule="auto"/>
        <w:ind w:firstLineChars="200" w:firstLine="440"/>
        <w:rPr>
          <w:rFonts w:ascii="宋体" w:hAnsi="宋体" w:cs="宋体"/>
          <w:color w:val="000000"/>
          <w:sz w:val="22"/>
          <w:szCs w:val="22"/>
        </w:rPr>
      </w:pPr>
      <w:r>
        <w:rPr>
          <w:rFonts w:ascii="宋体" w:hAnsi="宋体" w:cs="宋体"/>
          <w:color w:val="000000"/>
          <w:sz w:val="22"/>
          <w:szCs w:val="22"/>
        </w:rPr>
        <w:t>还包括动力输入轴和换向变速箱Ⅰ，所述动力输入轴的前端被配置为用于与拖拉机的动力输出轴连接，所述动力输入轴的后端通过万向节连接在换向变速箱Ⅰ上，用于输送动力</w:t>
      </w:r>
      <w:r w:rsidR="009D243A">
        <w:rPr>
          <w:rFonts w:ascii="宋体" w:hAnsi="宋体" w:cs="宋体" w:hint="eastAsia"/>
          <w:color w:val="000000"/>
          <w:sz w:val="22"/>
          <w:szCs w:val="22"/>
        </w:rPr>
        <w:t>；</w:t>
      </w:r>
    </w:p>
    <w:p w14:paraId="4C1B0CE9" w14:textId="1D6333BB" w:rsidR="00A90EDE" w:rsidRDefault="00000000">
      <w:pPr>
        <w:spacing w:line="360" w:lineRule="auto"/>
        <w:ind w:firstLineChars="200" w:firstLine="440"/>
        <w:rPr>
          <w:rFonts w:ascii="宋体" w:hAnsi="宋体" w:cs="宋体"/>
          <w:color w:val="000000"/>
          <w:sz w:val="22"/>
          <w:szCs w:val="22"/>
        </w:rPr>
      </w:pPr>
      <w:r>
        <w:rPr>
          <w:rFonts w:ascii="宋体" w:hAnsi="宋体" w:cs="宋体"/>
          <w:color w:val="000000"/>
          <w:sz w:val="22"/>
          <w:szCs w:val="22"/>
        </w:rPr>
        <w:t>所述秸秆粉碎装置包括横向设置的粉碎刀轴以及均匀设置在粉碎刀轴上的多个粉碎刀片，所述粉碎刀片被配置为随着所述粉碎刀轴转动以粉碎秸秆；所述粉碎刀轴通过传动齿轮箱Ⅰ、十字轴万向节Ⅰ与换向变速箱Ⅰ连接</w:t>
      </w:r>
      <w:r w:rsidR="009D243A">
        <w:rPr>
          <w:rFonts w:ascii="宋体" w:hAnsi="宋体" w:cs="宋体" w:hint="eastAsia"/>
          <w:color w:val="000000"/>
          <w:sz w:val="22"/>
          <w:szCs w:val="22"/>
        </w:rPr>
        <w:t>；</w:t>
      </w:r>
      <w:r>
        <w:rPr>
          <w:rFonts w:ascii="宋体" w:hAnsi="宋体" w:cs="宋体"/>
          <w:color w:val="000000"/>
          <w:sz w:val="22"/>
          <w:szCs w:val="22"/>
        </w:rPr>
        <w:t xml:space="preserve"> </w:t>
      </w:r>
    </w:p>
    <w:p w14:paraId="47FD40FE" w14:textId="1CC5C21E" w:rsidR="00A90EDE" w:rsidRDefault="00000000">
      <w:pPr>
        <w:spacing w:line="360" w:lineRule="auto"/>
        <w:ind w:firstLineChars="200" w:firstLine="440"/>
        <w:rPr>
          <w:rFonts w:ascii="宋体" w:hAnsi="宋体" w:cs="宋体"/>
          <w:color w:val="000000"/>
          <w:sz w:val="22"/>
          <w:szCs w:val="22"/>
        </w:rPr>
      </w:pPr>
      <w:r>
        <w:rPr>
          <w:rFonts w:ascii="宋体" w:hAnsi="宋体" w:cs="宋体"/>
          <w:color w:val="000000"/>
          <w:sz w:val="22"/>
          <w:szCs w:val="22"/>
        </w:rPr>
        <w:t>所述松土装置包括横向设置的旋耕刀轴以及均匀设置在旋耕刀轴上的旋耕刀片，所述旋耕刀片被配置为随着所述旋耕刀轴转动以翻动土壤；所述旋耕刀轴通过传动齿轮箱Ⅱ、十字轴万向节Ⅳ与换向变速箱Ⅱ连接，所述换向变速箱Ⅱ与所述换向变速箱Ⅰ传动连接</w:t>
      </w:r>
      <w:r w:rsidR="009D243A">
        <w:rPr>
          <w:rFonts w:ascii="宋体" w:hAnsi="宋体" w:cs="宋体" w:hint="eastAsia"/>
          <w:color w:val="000000"/>
          <w:sz w:val="22"/>
          <w:szCs w:val="22"/>
        </w:rPr>
        <w:t>；</w:t>
      </w:r>
    </w:p>
    <w:p w14:paraId="3F9E873D" w14:textId="23AF3D62" w:rsidR="00A90EDE" w:rsidRDefault="00000000">
      <w:pPr>
        <w:spacing w:line="360" w:lineRule="auto"/>
        <w:ind w:firstLineChars="200" w:firstLine="440"/>
        <w:rPr>
          <w:rFonts w:ascii="宋体" w:hAnsi="宋体" w:cs="宋体"/>
          <w:color w:val="000000"/>
          <w:sz w:val="22"/>
          <w:szCs w:val="22"/>
        </w:rPr>
      </w:pPr>
      <w:r>
        <w:rPr>
          <w:rFonts w:ascii="宋体" w:hAnsi="宋体" w:cs="宋体"/>
          <w:color w:val="000000"/>
          <w:sz w:val="22"/>
          <w:szCs w:val="22"/>
        </w:rPr>
        <w:t>所述秸秆侧移装置包括横向设置的螺旋式输送器和输送器壳，所述螺旋式输送器固定在输送器壳上，所述输送器壳的前端为敞口型</w:t>
      </w:r>
      <w:r w:rsidR="009D243A">
        <w:rPr>
          <w:rFonts w:ascii="宋体" w:hAnsi="宋体" w:cs="宋体" w:hint="eastAsia"/>
          <w:color w:val="000000"/>
          <w:sz w:val="22"/>
          <w:szCs w:val="22"/>
        </w:rPr>
        <w:t>；</w:t>
      </w:r>
    </w:p>
    <w:p w14:paraId="68887D35" w14:textId="2FCD346B" w:rsidR="00A90EDE" w:rsidRDefault="00000000">
      <w:pPr>
        <w:spacing w:line="360" w:lineRule="auto"/>
        <w:ind w:firstLineChars="200" w:firstLine="440"/>
        <w:rPr>
          <w:rFonts w:ascii="宋体" w:hAnsi="宋体" w:cs="宋体"/>
          <w:color w:val="000000"/>
          <w:sz w:val="22"/>
          <w:szCs w:val="22"/>
        </w:rPr>
      </w:pPr>
      <w:r>
        <w:rPr>
          <w:rFonts w:ascii="宋体" w:hAnsi="宋体" w:cs="宋体"/>
          <w:color w:val="000000"/>
          <w:sz w:val="22"/>
          <w:szCs w:val="22"/>
        </w:rPr>
        <w:t>所述秸秆铺放装置包括横向设置的铺放螺旋和设置在所述铺放螺旋上的防堵装置</w:t>
      </w:r>
      <w:r w:rsidR="009D243A">
        <w:rPr>
          <w:rFonts w:ascii="宋体" w:hAnsi="宋体" w:cs="宋体" w:hint="eastAsia"/>
          <w:color w:val="000000"/>
          <w:sz w:val="22"/>
          <w:szCs w:val="22"/>
        </w:rPr>
        <w:t>；</w:t>
      </w:r>
    </w:p>
    <w:p w14:paraId="27F30C2D" w14:textId="16FCC0FA" w:rsidR="00A90EDE" w:rsidRDefault="00000000">
      <w:pPr>
        <w:spacing w:line="360" w:lineRule="auto"/>
        <w:ind w:firstLineChars="200" w:firstLine="440"/>
        <w:rPr>
          <w:rFonts w:ascii="宋体" w:hAnsi="宋体" w:cs="宋体"/>
          <w:color w:val="000000"/>
          <w:sz w:val="22"/>
          <w:szCs w:val="22"/>
        </w:rPr>
      </w:pPr>
      <w:r>
        <w:rPr>
          <w:rFonts w:ascii="宋体" w:hAnsi="宋体" w:cs="宋体"/>
          <w:color w:val="000000"/>
          <w:sz w:val="22"/>
          <w:szCs w:val="22"/>
        </w:rPr>
        <w:t>所述提土装置包括输送链板和设置在所述输送链板上的输送料斗，所述输送链板向后方倾斜输送，所述输送料斗上设有分离孔</w:t>
      </w:r>
      <w:r w:rsidR="009D243A">
        <w:rPr>
          <w:rFonts w:ascii="宋体" w:hAnsi="宋体" w:cs="宋体" w:hint="eastAsia"/>
          <w:color w:val="000000"/>
          <w:sz w:val="22"/>
          <w:szCs w:val="22"/>
        </w:rPr>
        <w:t>；</w:t>
      </w:r>
    </w:p>
    <w:p w14:paraId="1B6167E3" w14:textId="06DA2B21" w:rsidR="00A90EDE" w:rsidRDefault="00000000">
      <w:pPr>
        <w:spacing w:line="360" w:lineRule="auto"/>
        <w:ind w:firstLineChars="200" w:firstLine="440"/>
        <w:rPr>
          <w:rFonts w:ascii="宋体" w:hAnsi="宋体" w:cs="宋体"/>
          <w:color w:val="000000"/>
          <w:sz w:val="22"/>
          <w:szCs w:val="22"/>
        </w:rPr>
      </w:pPr>
      <w:r>
        <w:rPr>
          <w:rFonts w:ascii="宋体" w:hAnsi="宋体" w:cs="宋体"/>
          <w:color w:val="000000"/>
          <w:sz w:val="22"/>
          <w:szCs w:val="22"/>
        </w:rPr>
        <w:t>所述分离装置包括振动筛，所述振动筛的后端通过吊杆安装在机架上，所述振动筛的前端与偏心轴连接，通过偏心轴的转动实现振动；所述振动筛正上方设有钢刷组件，所述钢刷组件上设有钢刷，所述钢刷组件能够旋转且旋转方向与前进方向相反，将所述筛上物向后清理</w:t>
      </w:r>
      <w:r w:rsidR="009D243A">
        <w:rPr>
          <w:rFonts w:ascii="宋体" w:hAnsi="宋体" w:cs="宋体" w:hint="eastAsia"/>
          <w:color w:val="000000"/>
          <w:sz w:val="22"/>
          <w:szCs w:val="22"/>
        </w:rPr>
        <w:t>；</w:t>
      </w:r>
    </w:p>
    <w:p w14:paraId="2F7B9F53" w14:textId="197C62C6" w:rsidR="00A90EDE" w:rsidRDefault="00000000">
      <w:pPr>
        <w:spacing w:line="360" w:lineRule="auto"/>
        <w:ind w:firstLineChars="200" w:firstLine="440"/>
        <w:rPr>
          <w:rFonts w:ascii="宋体" w:hAnsi="宋体" w:cs="宋体"/>
          <w:color w:val="000000"/>
          <w:sz w:val="22"/>
          <w:szCs w:val="22"/>
        </w:rPr>
      </w:pPr>
      <w:r>
        <w:rPr>
          <w:rFonts w:ascii="宋体" w:hAnsi="宋体" w:cs="宋体"/>
          <w:color w:val="000000"/>
          <w:sz w:val="22"/>
          <w:szCs w:val="22"/>
        </w:rPr>
        <w:t>还包括车桥和与所述车桥传动连接的升降油缸，所述车桥铰接安装在机架下部，能够通过升降油缸升高整机高度</w:t>
      </w:r>
      <w:r w:rsidR="009D243A">
        <w:rPr>
          <w:rFonts w:ascii="宋体" w:hAnsi="宋体" w:cs="宋体" w:hint="eastAsia"/>
          <w:color w:val="000000"/>
          <w:sz w:val="22"/>
          <w:szCs w:val="22"/>
        </w:rPr>
        <w:t>；</w:t>
      </w:r>
      <w:r>
        <w:rPr>
          <w:rFonts w:ascii="宋体" w:hAnsi="宋体" w:cs="宋体"/>
          <w:color w:val="000000"/>
          <w:sz w:val="22"/>
          <w:szCs w:val="22"/>
        </w:rPr>
        <w:t xml:space="preserve"> </w:t>
      </w:r>
    </w:p>
    <w:p w14:paraId="4BB97BA3" w14:textId="6E1D9771" w:rsidR="00000000" w:rsidRDefault="00000000">
      <w:pPr>
        <w:spacing w:line="360" w:lineRule="auto"/>
        <w:ind w:firstLineChars="200" w:firstLine="440"/>
        <w:rPr>
          <w:rFonts w:ascii="宋体" w:hAnsi="宋体" w:cs="宋体"/>
          <w:b/>
          <w:color w:val="000000"/>
          <w:sz w:val="32"/>
        </w:rPr>
      </w:pPr>
      <w:r>
        <w:rPr>
          <w:rFonts w:ascii="宋体" w:hAnsi="宋体" w:cs="宋体"/>
          <w:color w:val="000000"/>
          <w:sz w:val="22"/>
          <w:szCs w:val="22"/>
        </w:rPr>
        <w:t>所述收集装置包括卸料板和卸料油缸，所述卸料板铰接在所述机架上，能够通过卸料油缸实现卸料板的开合。</w:t>
      </w:r>
    </w:p>
    <w:p w14:paraId="25C8E74B" w14:textId="77777777" w:rsidR="006A6257" w:rsidRDefault="00000000">
      <w:pPr>
        <w:spacing w:line="360" w:lineRule="auto"/>
        <w:ind w:firstLineChars="200" w:firstLine="643"/>
        <w:rPr>
          <w:rFonts w:ascii="宋体" w:hAnsi="宋体" w:cs="宋体"/>
          <w:color w:val="000000"/>
          <w:sz w:val="22"/>
          <w:szCs w:val="22"/>
        </w:rPr>
      </w:pPr>
      <w:r>
        <w:rPr>
          <w:rFonts w:ascii="宋体" w:hAnsi="宋体" w:cs="宋体"/>
          <w:b/>
          <w:color w:val="000000"/>
          <w:sz w:val="32"/>
        </w:rPr>
        <w:br w:type="page"/>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6A6257" w14:paraId="5C889767" w14:textId="77777777">
        <w:tc>
          <w:tcPr>
            <w:tcW w:w="8522" w:type="dxa"/>
            <w:tcBorders>
              <w:top w:val="nil"/>
              <w:left w:val="nil"/>
              <w:bottom w:val="single" w:sz="12" w:space="0" w:color="auto"/>
              <w:right w:val="nil"/>
            </w:tcBorders>
          </w:tcPr>
          <w:p w14:paraId="275E023D" w14:textId="77777777" w:rsidR="00000000" w:rsidRDefault="00000000">
            <w:pPr>
              <w:jc w:val="center"/>
              <w:rPr>
                <w:rFonts w:ascii="宋体" w:hAnsi="宋体" w:cs="宋体"/>
                <w:b/>
                <w:color w:val="000000"/>
                <w:sz w:val="32"/>
              </w:rPr>
            </w:pPr>
            <w:r>
              <w:rPr>
                <w:rFonts w:ascii="宋体" w:hAnsi="宋体" w:cs="宋体" w:hint="eastAsia"/>
                <w:b/>
                <w:color w:val="000000"/>
                <w:sz w:val="32"/>
              </w:rPr>
              <w:t>说 明 书</w:t>
            </w:r>
          </w:p>
        </w:tc>
      </w:tr>
    </w:tbl>
    <w:p w14:paraId="7F2541ED" w14:textId="77777777" w:rsidR="00000000" w:rsidRDefault="00000000">
      <w:pPr>
        <w:spacing w:line="360" w:lineRule="auto"/>
        <w:ind w:firstLineChars="200" w:firstLine="522"/>
        <w:jc w:val="center"/>
        <w:rPr>
          <w:rFonts w:ascii="宋体" w:hAnsi="宋体" w:cs="宋体"/>
          <w:color w:val="000000"/>
          <w:sz w:val="22"/>
          <w:szCs w:val="22"/>
        </w:rPr>
      </w:pPr>
      <w:r>
        <w:rPr>
          <w:rFonts w:ascii="宋体" w:hAnsi="宋体" w:cs="宋体"/>
          <w:b/>
          <w:color w:val="000000"/>
          <w:sz w:val="26"/>
          <w:szCs w:val="22"/>
        </w:rPr>
        <w:t>一种多功能秸秆还田残膜回收一体机</w:t>
      </w:r>
    </w:p>
    <w:p w14:paraId="535F166F" w14:textId="77777777" w:rsidR="006A6257" w:rsidRDefault="00000000">
      <w:pPr>
        <w:spacing w:line="360" w:lineRule="auto"/>
        <w:ind w:firstLineChars="200" w:firstLine="442"/>
        <w:jc w:val="both"/>
        <w:rPr>
          <w:rFonts w:ascii="宋体" w:hAnsi="宋体" w:cs="宋体"/>
          <w:b/>
          <w:color w:val="000000"/>
          <w:sz w:val="26"/>
          <w:szCs w:val="22"/>
        </w:rPr>
      </w:pPr>
      <w:r>
        <w:rPr>
          <w:rFonts w:ascii="Cambria" w:eastAsia="Cambria" w:hAnsi="Cambria" w:cs="Cambria"/>
          <w:b/>
          <w:color w:val="000000"/>
          <w:sz w:val="22"/>
          <w:szCs w:val="22"/>
        </w:rPr>
        <w:t>技术领域</w:t>
      </w:r>
    </w:p>
    <w:p w14:paraId="01EC8B8D" w14:textId="77777777" w:rsidR="006A6257" w:rsidRDefault="00000000">
      <w:pPr>
        <w:spacing w:line="360" w:lineRule="auto"/>
        <w:ind w:firstLineChars="200" w:firstLine="440"/>
        <w:jc w:val="both"/>
        <w:rPr>
          <w:rFonts w:ascii="Cambria" w:eastAsia="Cambria" w:hAnsi="Cambria" w:cs="Cambria"/>
          <w:b/>
          <w:color w:val="000000"/>
          <w:sz w:val="22"/>
          <w:szCs w:val="22"/>
        </w:rPr>
      </w:pPr>
      <w:r>
        <w:rPr>
          <w:rFonts w:ascii="Cambria" w:eastAsia="Cambria" w:hAnsi="Cambria" w:cs="Cambria"/>
          <w:color w:val="000000"/>
          <w:sz w:val="22"/>
          <w:szCs w:val="22"/>
        </w:rPr>
        <w:t>本发明属于农业机械技术领域，更具体地，涉及一种多功能秸秆还田残膜回收一体机。</w:t>
      </w:r>
    </w:p>
    <w:p w14:paraId="6AB250EC" w14:textId="77777777" w:rsidR="006A6257" w:rsidRDefault="00000000">
      <w:pPr>
        <w:spacing w:line="360" w:lineRule="auto"/>
        <w:ind w:firstLineChars="200" w:firstLine="442"/>
        <w:jc w:val="both"/>
        <w:rPr>
          <w:rFonts w:ascii="Cambria" w:eastAsia="Cambria" w:hAnsi="Cambria" w:cs="Cambria"/>
          <w:color w:val="000000"/>
          <w:sz w:val="22"/>
          <w:szCs w:val="22"/>
        </w:rPr>
      </w:pPr>
      <w:r>
        <w:rPr>
          <w:rFonts w:ascii="Cambria" w:eastAsia="Cambria" w:hAnsi="Cambria" w:cs="Cambria"/>
          <w:b/>
          <w:color w:val="000000"/>
          <w:sz w:val="22"/>
          <w:szCs w:val="22"/>
        </w:rPr>
        <w:t>背景技术</w:t>
      </w:r>
    </w:p>
    <w:p w14:paraId="55D7707C" w14:textId="77777777" w:rsidR="006A6257" w:rsidRDefault="00000000">
      <w:pPr>
        <w:spacing w:line="360" w:lineRule="auto"/>
        <w:ind w:firstLineChars="200" w:firstLine="440"/>
        <w:jc w:val="both"/>
        <w:rPr>
          <w:rFonts w:ascii="Cambria" w:eastAsia="Cambria" w:hAnsi="Cambria" w:cs="Cambria"/>
          <w:b/>
          <w:color w:val="000000"/>
          <w:sz w:val="22"/>
          <w:szCs w:val="22"/>
        </w:rPr>
      </w:pPr>
      <w:r>
        <w:rPr>
          <w:rFonts w:ascii="Cambria" w:eastAsia="Cambria" w:hAnsi="Cambria" w:cs="Cambria"/>
          <w:color w:val="000000"/>
          <w:sz w:val="22"/>
          <w:szCs w:val="22"/>
        </w:rPr>
        <w:t>新疆是我国优质棉花生产基地，近年来棉花产量大幅增加，由于地膜栽培技术在棉花生产中的大面积推广使用，农田受残膜污染日趋严重，越来越多的残膜得不到及时、有效回收，引起了土质板结、退化，妨碍作物出芽，造成土地品质迅速下降、使用效率降低，更给环境带来严重的白色污染，面对新疆本来就比较脆弱的生态环境，残膜污染已然成为目前环保的一大公害。</w:t>
      </w:r>
    </w:p>
    <w:p w14:paraId="45033477"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为解决残膜污染问题，国内外研制出多种残膜回收机，但多为表层残膜回收机，残膜中含秸秆量大，作业效率低，功能比较单一，而且不能很好的实现边膜和耕层残膜的回收。</w:t>
      </w:r>
    </w:p>
    <w:p w14:paraId="270096E5"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因此，研制一种作业效率高，功能齐全，可一次性完成秸秆粉碎、还田、残膜回收的多功能残膜回收机具有重要意义。</w:t>
      </w:r>
    </w:p>
    <w:p w14:paraId="5CA9849D" w14:textId="77777777" w:rsidR="006A6257" w:rsidRDefault="00000000">
      <w:pPr>
        <w:spacing w:line="360" w:lineRule="auto"/>
        <w:ind w:firstLineChars="200" w:firstLine="442"/>
        <w:jc w:val="both"/>
        <w:rPr>
          <w:rFonts w:ascii="Cambria" w:eastAsia="Cambria" w:hAnsi="Cambria" w:cs="Cambria"/>
          <w:color w:val="000000"/>
          <w:sz w:val="22"/>
          <w:szCs w:val="22"/>
        </w:rPr>
      </w:pPr>
      <w:r>
        <w:rPr>
          <w:rFonts w:ascii="Cambria" w:eastAsia="Cambria" w:hAnsi="Cambria" w:cs="Cambria"/>
          <w:b/>
          <w:color w:val="000000"/>
          <w:sz w:val="22"/>
          <w:szCs w:val="22"/>
        </w:rPr>
        <w:t>发明内容</w:t>
      </w:r>
    </w:p>
    <w:p w14:paraId="6E51686E" w14:textId="77777777" w:rsidR="006A6257" w:rsidRDefault="00000000">
      <w:pPr>
        <w:spacing w:line="360" w:lineRule="auto"/>
        <w:ind w:firstLineChars="200" w:firstLine="440"/>
        <w:jc w:val="both"/>
        <w:rPr>
          <w:rFonts w:ascii="Cambria" w:eastAsia="Cambria" w:hAnsi="Cambria" w:cs="Cambria"/>
          <w:b/>
          <w:color w:val="000000"/>
          <w:sz w:val="22"/>
          <w:szCs w:val="22"/>
        </w:rPr>
      </w:pPr>
      <w:r>
        <w:rPr>
          <w:rFonts w:ascii="Cambria" w:eastAsia="Cambria" w:hAnsi="Cambria" w:cs="Cambria"/>
          <w:color w:val="000000"/>
          <w:sz w:val="22"/>
          <w:szCs w:val="22"/>
        </w:rPr>
        <w:t>本发明的一个目的是提供一种多功能秸秆还田残膜回收一体机的新技术方案。</w:t>
      </w:r>
    </w:p>
    <w:p w14:paraId="4420254B"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根据本发明的第一方面，提供了一种多功能秸秆还田残膜回收一体机，包括机架以及沿纵向方向依次设置在所述机架上的秸秆粉碎装置、秸秆还田装置、松土装置、提土装置、碎土装置、分离装置和收集装置；</w:t>
      </w:r>
    </w:p>
    <w:p w14:paraId="2043864A"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所述秸秆粉碎装置横向设置在所述机架的前端，所述秸秆粉碎装置被配置为用于粉碎秸秆；</w:t>
      </w:r>
    </w:p>
    <w:p w14:paraId="598388C4" w14:textId="2E805461"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所述秸秆还田装置包括输送风机以及横向设置的秸秆侧移装置、秸秆铺放装置，所述秸秆侧移装置设置在所述秸秆粉碎装置后方用于汇集粉碎后的秸秆，所述秸秆铺放装置设置在所述提土装置、碎土装置或分离装置的后方，所述秸秆铺放装置用于铺设所述秸秆侧移装置收集到的秸秆，所述输送风机的输入端与所述秸秆侧移装置连接，所述输送风机的输出端与所述秸秆铺放装置连接，所述输送风机被配置为用于输送所述</w:t>
      </w:r>
      <w:r w:rsidR="009D243A" w:rsidRPr="009D243A">
        <w:rPr>
          <w:rFonts w:ascii="宋体" w:hAnsi="宋体" w:cs="宋体" w:hint="eastAsia"/>
          <w:color w:val="000000"/>
          <w:sz w:val="22"/>
          <w:szCs w:val="22"/>
        </w:rPr>
        <w:t>秸秆侧移装置</w:t>
      </w:r>
      <w:r>
        <w:rPr>
          <w:rFonts w:ascii="Cambria" w:eastAsia="Cambria" w:hAnsi="Cambria" w:cs="Cambria"/>
          <w:color w:val="000000"/>
          <w:sz w:val="22"/>
          <w:szCs w:val="22"/>
        </w:rPr>
        <w:t>收集到的秸秆至所述秸秆铺放装置；</w:t>
      </w:r>
    </w:p>
    <w:p w14:paraId="2622B6C6"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所述松土装置横向设置在所述秸秆侧移装置的后方，所述松土装置被配置为用于翻动收集了秸秆后的土壤；</w:t>
      </w:r>
    </w:p>
    <w:p w14:paraId="1CCA8F2A"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所述提土装置横向设置在所述松土装置的后方，所述提土装置被配置为用于收集所述松土装置翻动的土壤并向后纵向输送；</w:t>
      </w:r>
    </w:p>
    <w:p w14:paraId="21E311CE"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所述碎土装置设置在所述提土装置的后方，所述碎土装置被配置为用于收集并粉碎所述提土装置输送过来的土壤；</w:t>
      </w:r>
    </w:p>
    <w:p w14:paraId="1F2ED39F"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所述分离装置设置在所述碎土装置的下方，所述分离装置被配置为用于筛分粉碎后的土壤；</w:t>
      </w:r>
    </w:p>
    <w:p w14:paraId="62792EAF"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所述收集装置设置在所述机架的后端，所述收集装置被配置为用于收集所述分离装置的筛上物。</w:t>
      </w:r>
    </w:p>
    <w:p w14:paraId="5E00EB0E"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可选地，还包括动力输入轴和换向变速箱Ⅰ，所述动力输入轴的前端被配置为用于与拖拉机的动力输出轴连接，所述动力输入轴的后端通过万向节连接在换向变速箱Ⅰ上，用于输送动力。</w:t>
      </w:r>
    </w:p>
    <w:p w14:paraId="64465F1C"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可选地，所述秸秆粉碎装置包括横向设置的粉碎刀轴以及均匀设置在粉碎刀轴上的多个粉碎刀片，所述粉碎刀片被配置为随着所述粉碎刀轴转动以粉碎秸秆；所述粉碎刀轴通过传动齿轮箱Ⅰ、十字轴万向节Ⅰ与换向变速箱Ⅰ连接。</w:t>
      </w:r>
    </w:p>
    <w:p w14:paraId="7ABBAC01"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可选地，所述松土装置包括横向设置的旋耕刀轴以及均匀设置在旋耕刀轴上的旋耕刀片，所述旋耕刀片被配置为随着所述旋耕刀轴转动以翻动土壤；所述旋耕刀轴通过传动齿轮箱Ⅱ、十字轴万向节Ⅳ与换向变速箱Ⅱ连接，所述换向变速箱Ⅱ与所述换向变速箱Ⅰ传动连接。</w:t>
      </w:r>
    </w:p>
    <w:p w14:paraId="0CC2A5B7"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可选地，所述秸秆侧移装置包括横向设置的螺旋式输送器和输送器壳，所述螺旋式输送器固定在输送器壳上，所述输送器壳的前端为敞口型。</w:t>
      </w:r>
    </w:p>
    <w:p w14:paraId="225C20FE"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可选地，所述秸秆铺放装置包括横向设置的铺放螺旋和设置在所述铺放螺旋上的防堵装置。</w:t>
      </w:r>
    </w:p>
    <w:p w14:paraId="436A7D00"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可选地，所述提土装置包括输送链板和设置在所述输送链板上的输送料斗，所述输送链板向后方倾斜输送，所述输送料斗上设有分离孔。</w:t>
      </w:r>
    </w:p>
    <w:p w14:paraId="674A42D6"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可选地，所述分离装置包括振动筛，所述振动筛的后端通过吊杆安装在机架上，所述振动筛的前端与偏心轴连接，通过偏心轴的转动实现振动；所述振动筛正上方设有钢刷组件，所述钢刷组件上设有钢刷，所述钢刷组件能够旋转且旋转方向与前进方向相反，将所述筛上物向后清理。</w:t>
      </w:r>
    </w:p>
    <w:p w14:paraId="26F303C7"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可选地，还包括车桥和与所述车桥传动连接的升降油缸，所述车桥铰接安装在机架下部，能够通过升降油缸升高整机高度。</w:t>
      </w:r>
    </w:p>
    <w:p w14:paraId="53E4C2AE"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可选地，所述收集装置包括卸料板和卸料油缸，所述卸料板铰接在所述机架上，能够通过卸料油缸实现卸料板的开合。</w:t>
      </w:r>
    </w:p>
    <w:p w14:paraId="0A0D81CE"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根据本发明的一个方面，本发明的多功能秸秆还田残膜回收一体机功能齐全，能连续完成秸秆粉碎、秸秆还田、秸秆覆盖、残膜回收等功能。此外本发明的多功能秸秆还田残膜回收一体机能够实现表层残膜的回收，还能够实现耕层残膜的回收，回收率高；实现了秸秆全部还田，边进行秸秆铺放，边进行秸秆覆盖，有利于促进秸秆腐化并转变为肥力；克服了逐项作业成本高，效率低下等问题，能够促进农民增收，农业高效、优质发展。</w:t>
      </w:r>
    </w:p>
    <w:p w14:paraId="4339613A"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通过以下参照附图对本发明的示例性实施例的详细描述，本发明的其它特征及其优点将会变得清楚。</w:t>
      </w:r>
    </w:p>
    <w:p w14:paraId="0B53BA0D" w14:textId="77777777" w:rsidR="006A6257" w:rsidRDefault="00000000">
      <w:pPr>
        <w:spacing w:line="360" w:lineRule="auto"/>
        <w:ind w:firstLineChars="200" w:firstLine="442"/>
        <w:jc w:val="both"/>
        <w:rPr>
          <w:rFonts w:ascii="Cambria" w:eastAsia="Cambria" w:hAnsi="Cambria" w:cs="Cambria"/>
          <w:color w:val="000000"/>
          <w:sz w:val="22"/>
          <w:szCs w:val="22"/>
        </w:rPr>
      </w:pPr>
      <w:r>
        <w:rPr>
          <w:rFonts w:ascii="Cambria" w:eastAsia="Cambria" w:hAnsi="Cambria" w:cs="Cambria"/>
          <w:b/>
          <w:color w:val="000000"/>
          <w:sz w:val="22"/>
          <w:szCs w:val="22"/>
        </w:rPr>
        <w:t>附图说明</w:t>
      </w:r>
    </w:p>
    <w:p w14:paraId="26153F3E" w14:textId="77777777" w:rsidR="006A6257" w:rsidRDefault="00000000">
      <w:pPr>
        <w:spacing w:line="360" w:lineRule="auto"/>
        <w:ind w:firstLineChars="200" w:firstLine="440"/>
        <w:jc w:val="both"/>
        <w:rPr>
          <w:rFonts w:ascii="Cambria" w:eastAsia="Cambria" w:hAnsi="Cambria" w:cs="Cambria"/>
          <w:b/>
          <w:color w:val="000000"/>
          <w:sz w:val="22"/>
          <w:szCs w:val="22"/>
        </w:rPr>
      </w:pPr>
      <w:r>
        <w:rPr>
          <w:rFonts w:ascii="Cambria" w:eastAsia="Cambria" w:hAnsi="Cambria" w:cs="Cambria"/>
          <w:color w:val="000000"/>
          <w:sz w:val="22"/>
          <w:szCs w:val="22"/>
        </w:rPr>
        <w:t>被结合在说明书中并构成说明书的一部分的附图示出了本发明的实施例，并且连同其说明一起用于解释本发明的原理。</w:t>
      </w:r>
    </w:p>
    <w:p w14:paraId="1828020C"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图1是本发明的结构示意图；</w:t>
      </w:r>
    </w:p>
    <w:p w14:paraId="51E335A3"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图2是本发明秸秆粉碎装置和松土装置的结构示意图；</w:t>
      </w:r>
    </w:p>
    <w:p w14:paraId="148D9FA9"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图3是本发明收集箱的结构示意图；</w:t>
      </w:r>
    </w:p>
    <w:p w14:paraId="1832CA06"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图4是本发明行走装置的结构示意图；</w:t>
      </w:r>
    </w:p>
    <w:p w14:paraId="6F7D016C"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图5是本发明提土装置和分离装置的结构示意图；</w:t>
      </w:r>
    </w:p>
    <w:p w14:paraId="29AC83BF"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图6是本发明秸秆还田装置的结构示意图。</w:t>
      </w:r>
    </w:p>
    <w:p w14:paraId="5A47056F"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图中各标号：1-机架，2-粉碎刀片，3-十字轴万向节Ⅰ，4-传动齿轮箱Ⅰ，5-秸秆侧移装置，6-传动齿轮箱Ⅱ，7-传动轴Ⅰ，8-传动齿轮箱Ⅲ，9-传动轴Ⅱ，10-传动轴Ⅲ，11-传动轴Ⅳ，12-行走轮，13-偏心轴，14-碎土轴，15-振动筛，16-固定板，17-传动轴Ⅴ，18-卸料油缸，19-卸料板，20-传动轴Ⅵ，21-输送料斗，22-换向变速箱Ⅱ，23-十字轴万向节Ⅱ，24-换向变速箱Ⅰ，25-输送风机，26-送风管，27-动力输入轴，28-十字轴万向节Ⅲ，29-十字轴万向节Ⅳ，30-旋耕刀轴，31-旋耕刀片，32-铰接销，33-车桥，34-限位块，35-升降油缸，36-吊杆，37-钢刷组件，38-传动轴Ⅶ，39-碎土刀片，40-传动轴Ⅷ，41-导流板，42-输送螺旋，43-粉碎刀轴，44-输送管路，45-铺放螺旋，46-防堵装置，47-输送链板。</w:t>
      </w:r>
    </w:p>
    <w:p w14:paraId="71A8655D" w14:textId="77777777" w:rsidR="006A6257" w:rsidRDefault="00000000">
      <w:pPr>
        <w:spacing w:line="360" w:lineRule="auto"/>
        <w:ind w:firstLineChars="200" w:firstLine="442"/>
        <w:jc w:val="both"/>
        <w:rPr>
          <w:rFonts w:ascii="Cambria" w:eastAsia="Cambria" w:hAnsi="Cambria" w:cs="Cambria"/>
          <w:color w:val="000000"/>
          <w:sz w:val="22"/>
          <w:szCs w:val="22"/>
        </w:rPr>
      </w:pPr>
      <w:r>
        <w:rPr>
          <w:rFonts w:ascii="Cambria" w:eastAsia="Cambria" w:hAnsi="Cambria" w:cs="Cambria"/>
          <w:b/>
          <w:color w:val="000000"/>
          <w:sz w:val="22"/>
          <w:szCs w:val="22"/>
        </w:rPr>
        <w:t>具体实施方式</w:t>
      </w:r>
    </w:p>
    <w:p w14:paraId="64458C28" w14:textId="77777777" w:rsidR="006A6257" w:rsidRDefault="00000000">
      <w:pPr>
        <w:spacing w:line="360" w:lineRule="auto"/>
        <w:ind w:firstLineChars="200" w:firstLine="440"/>
        <w:jc w:val="both"/>
        <w:rPr>
          <w:rFonts w:ascii="Cambria" w:eastAsia="Cambria" w:hAnsi="Cambria" w:cs="Cambria"/>
          <w:b/>
          <w:color w:val="000000"/>
          <w:sz w:val="22"/>
          <w:szCs w:val="22"/>
        </w:rPr>
      </w:pPr>
      <w:r>
        <w:rPr>
          <w:rFonts w:ascii="Cambria" w:eastAsia="Cambria" w:hAnsi="Cambria" w:cs="Cambria"/>
          <w:color w:val="000000"/>
          <w:sz w:val="22"/>
          <w:szCs w:val="22"/>
        </w:rPr>
        <w:t>现在将参照附图来详细描述本发明的各种示例性实施例。应注意到：除非另外具体说明，否则在这些实施例中阐述的部件和步骤的相对布置、数字表达式和数值不限制本发明的范围。</w:t>
      </w:r>
    </w:p>
    <w:p w14:paraId="5B1EBF9C"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以下对至少一个示例性实施例的描述实际上仅仅是说明性的，决不作为对本发明及其应用或使用的任何限制。</w:t>
      </w:r>
    </w:p>
    <w:p w14:paraId="45A99EC9"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对于相关领域普通技术人员已知的技术、方法和设备可能不作详细讨论，但在适当情况下，所述技术、方法和设备应当被视为说明书的一部分。</w:t>
      </w:r>
    </w:p>
    <w:p w14:paraId="173D5A11"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在这里示出和讨论的所有例子中，任何具体值应被解释为仅仅是示例性的，而不是作为限制。因此，示例性实施例的其它例子可以具有不同的值。</w:t>
      </w:r>
    </w:p>
    <w:p w14:paraId="27B4F7DF"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应注意到：相似的标号和字母在下面的附图中表示类似项，因此，一旦某一项在一个附图中被定义，则在随后的附图中不需要对其进行进一步讨论。</w:t>
      </w:r>
    </w:p>
    <w:p w14:paraId="6495FA9B"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根据本发明的一个方面，在一些实施例中，参考图1-6，本发明提供的一种多功能秸秆还田残膜回收一体机，包括：机架1以及沿纵向方向依次设置在所述机架1上的秸秆粉碎装置、秸秆还田装置、松土装置、提土装置、碎土装置、分离装置和收集装置。所述机架1的后端具有车轮，使得机架1能够被牵引移动；或者所述机架1前端和后端均具有车轮，本发明对此并不限制。</w:t>
      </w:r>
    </w:p>
    <w:p w14:paraId="68BBE8EB"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所述秸秆粉碎装置横向设置在所述机架1的前端，所述秸秆粉碎装置用于粉碎秸秆。</w:t>
      </w:r>
    </w:p>
    <w:p w14:paraId="0BE36CB2"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所述秸秆还田装置包括输送风机25以及横向设置的秸秆侧移装置5、秸秆铺放装置。所述秸秆侧移装置5设置在所述秸秆粉碎装置后方用于汇集粉碎后的秸秆,将粉碎后的秸秆预收集。所述输送风机25的输入端与所述秸秆侧移装置5连接，所述输送风机25的输出端与所述秸秆铺放装置连接，所述输送风机25用于采用风力强制输送所述秸秆侧移装置5收集到的秸秆。所述秸秆铺放装置用于铺设所述秸秆侧移装置5收集到的秸秆。所述秸秆铺放装置设置在所述提土装置、碎土装置或分离装置的后方，防止被松土装置作业后与土壤混合，增大后续分离的工作量，若分理不够彻底，有可能造成秸秆的损失，使得秸秆不能够充分还田。</w:t>
      </w:r>
    </w:p>
    <w:p w14:paraId="2ECD9CAA"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所述松土装置横向设置在所述秸秆侧移装置5的后方，所述松土装置用于翻动收集了秸秆后的土壤，进行松土作业，将残留在农田表层和耕层的残膜旋松并将大部分残膜带到表层。</w:t>
      </w:r>
    </w:p>
    <w:p w14:paraId="210001D9"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所述提土装置横向设置在所述松土装置的后方，所述提土装置用于收集所述松土装置翻动的土壤并向后纵向输送，将表层土壤以及残膜同时提升并向后输送、</w:t>
      </w:r>
    </w:p>
    <w:p w14:paraId="18539E60"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所述碎土装置设置在所述提土装置的后方，所述碎土装置用于收集并粉碎所述提土装置输送过来的土壤，将大块的土壤粉碎成合适粒径的细微土壤，便于通过后续的筛分；残膜具有柔性，不会被碎土装置粉碎。所述碎土装置可以是现有的具有碎土机构的装置，也可以是对辊式碎土装置，也可以是不具有筛网的锤片式粉碎机等类型的能够将土块打碎的装置，本申请对此并不限制。</w:t>
      </w:r>
    </w:p>
    <w:p w14:paraId="5AEF99B9"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所述分离装置设置在所述碎土装置的下方，所述分离装置被用于筛分粉碎后的土壤，细微土壤作为筛下物直接下落至机架1下方的田地中还田；残膜作为筛上物被分离出来，实现土膜分离。通过碎土装置打碎的土壤的和粒径即能够通过分离装置的筛网的粒径。</w:t>
      </w:r>
    </w:p>
    <w:p w14:paraId="34E927AC"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所述收集装置设置在所述机架1的后端，所述收集装置用于收集所述分离装置的筛上物，提供暂存空间，保障本发明能够持续性作业。</w:t>
      </w:r>
    </w:p>
    <w:p w14:paraId="6FA3C6AD"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本发明的多功能秸秆还田残膜回收一体机功能齐全，能连续完成秸秆粉碎、秸秆还田、秸秆覆盖、残膜回收等功能。此外本发明的多功能秸秆还田残膜回收一体机能够实现表层残膜的回收，还能够实现耕层残膜的回收，回收率高；实现了秸秆全部还田，边进行秸秆铺放，边进行秸秆覆盖，有利于促进秸秆腐化并转变为肥力；克服了逐项作业成本高，效率低下等问题，能够促进农民增收，农业高效、优质发展。</w:t>
      </w:r>
    </w:p>
    <w:p w14:paraId="7909C8D7"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在一些实施例中，参考图2，本发明还包括动力输入轴27和换向变速箱Ⅰ24，所述动力输入轴27的前端被配置为用于与拖拉机的动力输出轴连接，所述动力输入轴27的后端通过万向节连接在换向变速箱Ⅰ24上，用于输送动力。</w:t>
      </w:r>
    </w:p>
    <w:p w14:paraId="076AD2D3"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在一些实施例中，参考图1和图2，所述秸秆粉碎装置包括横向设置的粉碎刀轴43以及均匀设置在粉碎刀轴43上的多个粉碎刀片2，所述粉碎刀片2被配置为随着所述粉碎刀轴43转动以粉碎秸秆；所述粉碎刀轴43通过传动齿轮箱Ⅰ4、十字轴万向节Ⅰ3与换向变速箱Ⅰ24连接。</w:t>
      </w:r>
    </w:p>
    <w:p w14:paraId="28269FBA"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在一些实施例中，参考图1和图2，所述松土装置包括横向设置的旋耕刀轴30以及均匀设置在旋耕刀轴30上的旋耕刀片31，所述旋耕刀片31被配置为随着所述旋耕刀轴30转动以翻动土壤；所述旋耕刀轴30通过传动齿轮箱Ⅱ6、十字轴万向节Ⅳ29与换向变速箱Ⅱ22连接，所述换向变速箱Ⅱ22与所述换向变速箱Ⅰ24传动连接。</w:t>
      </w:r>
    </w:p>
    <w:p w14:paraId="6CCA6973"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在一些实施例中，参考图1和图6，所述秸秆侧移装置5包括横向设置的螺旋式输送器和输送器壳，所述螺旋式输送器固定在输送器壳上，所述输送器壳的前端为敞口型。</w:t>
      </w:r>
    </w:p>
    <w:p w14:paraId="2C3C5A8A"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在一些实施例中，参考图1和图6，所述秸秆铺放装置包括横向设置的铺放螺旋45和设置在所述铺放螺旋上的防堵装置46。</w:t>
      </w:r>
    </w:p>
    <w:p w14:paraId="226A1A0E"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在一些实施例中，参考图1和图5，所述提土装置包括输送链板47和设置在所述输送链板47上的输送料斗21，所述输送链板47向后方倾斜输送，所述输送料斗21上设有分离孔，使得土壤和残膜能够预先粗分离，降低后续的作业强度。</w:t>
      </w:r>
    </w:p>
    <w:p w14:paraId="5B764E38"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在一些实施例中，参考图1和图5，所述分离装置包括振动筛15，所述振动筛15的后端通过吊杆安装在机架1上，所述振动筛15的前端与偏心轴13连接，通过偏心轴13的转动实现振动；所述振动筛15正上方设有钢刷组件37，所述钢刷组件37上设有钢刷，所述钢刷组件37能够旋转且旋转方向与前进方向相反，将所述筛上物向后清理。</w:t>
      </w:r>
    </w:p>
    <w:p w14:paraId="64A3B0F4"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在一些实施例中，参考图1和图4，还包括车桥和与所述车桥传动连接的升降油缸35，所述车桥铰接安装在机架1下部，能够通过升降油缸35升高整机高度。</w:t>
      </w:r>
    </w:p>
    <w:p w14:paraId="76C86F15"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在一些实施例中，参考图1和图3，所述收集装置包括卸料板19和卸料油缸18，所述卸料板19铰接在所述机架1上，能够通过卸料油缸18实现卸料板19的开合。</w:t>
      </w:r>
    </w:p>
    <w:p w14:paraId="025A6ECB"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本发明的一个工作过程是：工作时，先接合拖拉机动力，使整机处于工作状态，调整拖拉机挂接机构，使整机与地面间隙处于最佳位置，驾驶拖拉机牵引整机行进，拖拉机输出的动力由动力输入轴27输入换向变速箱Ⅰ24进行换向，一部分动力通过十字轴万向节Ⅰ3、传动齿轮箱Ⅰ4传递到粉碎刀轴43，带动粉碎刀片2粉碎秸秆，被粉碎的秸秆进入秸秆侧移装置5，并被侧移到一侧，在输送风机25的风力作用下，通过输送管道输送到秸秆铺放装置进行铺放；另一部分动力动过十字轴万向节Ⅲ28将动力传递到换向变速箱Ⅱ22，换向变速箱Ⅱ22通过十字轴万向节Ⅳ29、传动齿轮箱Ⅱ6将动力传递到旋耕刀轴30，带动旋耕刀片31旋转，进行松土作业，残留在农田表层和耕层的残膜被旋耕刀片31旋松并将大部分残膜带到表层，随着整机行进，输送料斗21在输送链板47的带动作用下，将表层近20cm深度的残膜和土的混合物一边分离一边提升，后经碎土装置进一步碎土，经导流板41进入分离装置，在振动筛15的振动作用下，实现土和残膜的分离，为了提升分离效果，钢刷组件37逆时针旋转，不断将混杂在土壤中的残膜刷起，分离出的残膜最后进入收集箱，透过振动筛15的土壤掉落地面，刚好实现铺放秸秆的覆盖，当收集箱集满残膜后，通过控制卸料油缸18打开卸料板19实现卸膜。</w:t>
      </w:r>
    </w:p>
    <w:p w14:paraId="62592674"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本发明的有益效果是：(1)该机功能齐全，能连续完成秸秆粉碎、秸秆还田、秸秆覆盖、残膜回收等功能；(2)该机不但能够实现表层残膜的回收，还能够实现耕层残膜的回收，回收率高；(3)实现了秸秆全部还田，边进行秸秆铺放，边进行秸秆覆盖，有利于促进秸秆腐化并转变为肥力；(4)克服了逐项作业成本高，效率低下等问题，能够促进农民增收，农业高效、优质发展。</w:t>
      </w:r>
    </w:p>
    <w:p w14:paraId="11251FA4"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在一个具体的实施例1中：如图1-6所示，一种多功能秸秆还田残膜回收一体机，包括机架1、秸秆粉碎装置、秸秆还田装置、松土装置、提土装置、碎土装置、分离装置和收集装置，所述秸秆粉碎装置位于该机前端，包括粉碎刀轴43、粉碎刀片2；所述秸秆还田装置包括秸秆侧移装置5、输送风机25、送风管26、输送管路44、秸秆铺放装置，位于秸秆粉碎装置后部；所述松土装置包括旋耕刀轴30、旋耕刀片31；所述提土装置位于松土装置后部，包括输送料斗21、输送链板47、传动轴Ⅵ20、传动轴Ⅷ40；所述碎土装置包括碎土刀片39、碎土轴14，安装在分离装置的前上方；所述分离装置位于提土装置后部，包括振动筛15、偏心轴13、钢刷组件37；所述分离装置后部设有收集装置，包括卸料板19、固定板16、卸料油缸18。</w:t>
      </w:r>
    </w:p>
    <w:p w14:paraId="583B857B"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所述动力输入轴27前端与拖拉机的动力输出轴连接，后部通过万向节连接在换向变速箱Ⅰ24上，为整机输送动力。</w:t>
      </w:r>
    </w:p>
    <w:p w14:paraId="7E7CB4A5"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所述秸秆粉碎装置位于整机前端，包括粉碎刀轴43、粉碎刀片2，所述粉碎刀片2通过螺栓固定在粉碎刀轴43上，粉碎刀轴43分别过传动齿轮箱Ⅰ4、十字轴万向节Ⅰ3与换向变速箱Ⅰ24连接。</w:t>
      </w:r>
    </w:p>
    <w:p w14:paraId="112B0C8A"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所述秸秆侧移装置5包括螺旋式输送器、输送器壳，所述螺旋式输送器固定在输送器壳上，前端为敞口型；所述秸秆铺放装置包括铺放螺旋45、防堵装置46；所述秸秆侧移装置5通过输送管路44与秸秆铺放装置连接，在输送管路44中有输送风机25产生的风力通过送风管26进行粉碎秸秆的强制输送。</w:t>
      </w:r>
    </w:p>
    <w:p w14:paraId="3B8CC181"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所述松土装置包括旋耕刀轴30、旋耕刀片31，旋耕刀片31通过螺栓固定在旋耕刀轴30上，旋耕刀轴30通过传动齿轮箱Ⅱ6、十字轴万向节Ⅳ29与换向变速箱Ⅱ22连接。</w:t>
      </w:r>
    </w:p>
    <w:p w14:paraId="21E8549F"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所述输送料斗21通过螺栓固定在输送链板47上，输送链板47通过链条安装在传动轴Ⅵ20和传动轴Ⅷ40上；所述输送料斗21上设有分离小孔，用于实现残膜和土的初步分离；所述传动轴Ⅵ20通过链传动与传动齿轮箱Ⅲ8连接。</w:t>
      </w:r>
    </w:p>
    <w:p w14:paraId="69031AAC"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所述振动筛15后端通过吊杆安装在机架1上，前端与偏心轴13连接，通过偏心轴13的转动实现振动，振动筛15正上方设有钢刷组件37，所述钢刷组件37上设有钢刷，通过链条固定在传动轴Ⅴ17和传动轴Ⅶ38上，工作时钢刷组件37旋转方向与前进方向相反。</w:t>
      </w:r>
    </w:p>
    <w:p w14:paraId="37231A31"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所述车桥铰接安装在机架1下部，机具运输时通过升降油缸35可升高整机高度，便于道路运输，工作时，限位块34可限制整机的工作高度，保持整机的稳定性。</w:t>
      </w:r>
    </w:p>
    <w:p w14:paraId="58B09E3E"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所述卸料板19铰接在机架1上，可通过卸料油缸18实现卸料板19的开合。</w:t>
      </w:r>
    </w:p>
    <w:p w14:paraId="0AB3A591"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在一个具体的实施例2中：如图1-6所示，一种多功能秸秆还田残膜回收一体机，包括机架1、秸秆粉碎装置、秸秆还田装置、松土装置、提土装置、碎土装置、分离装置和收集装置，所述秸秆粉碎装置位于该机前端，包括粉碎刀轴43、粉碎刀片2；所述秸秆还田装置包括秸秆侧移装置5、输送风机25、送风管26、输送管路44、秸秆铺放装置，位于秸秆粉碎装置后部；所述松土装置包括旋耕刀轴30、旋耕刀片31；所述提土装置位于松土装置后部，包括输送料斗21、输送链板47、传动轴Ⅵ20、传动轴Ⅷ40；所述碎土装置包括碎土刀片39、碎土轴14，安装在分离装置的前上方；所述分离装置位于提土装置后部，包括振动筛15、偏心轴13、钢刷组件37；所述分离装置后部设有收集装置，包括卸料板19、固定板16、卸料油缸18。</w:t>
      </w:r>
    </w:p>
    <w:p w14:paraId="28E35483"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所述动力输入轴27前端与拖拉机的动力输出轴连接，后部通过万向节连接在换向变速箱Ⅰ24上，为整机输送动力。</w:t>
      </w:r>
    </w:p>
    <w:p w14:paraId="342DFF35"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所述秸秆粉碎装置位于整机前端，包括粉碎刀轴43、粉碎刀片2，所述粉碎刀片2通过螺栓固定在粉碎刀轴43上，粉碎刀轴43分别过传动齿轮箱Ⅰ4、十字轴万向节Ⅰ3与换向变速箱Ⅰ24连接。</w:t>
      </w:r>
    </w:p>
    <w:p w14:paraId="63A45105"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所述秸秆侧移装置5包括螺旋式输送器、输送器壳，所述螺旋式输送器固定在输送器壳上，前端为敞口型；所述秸秆铺放装置包括铺放螺旋45、防堵装置46；所述秸秆侧移装置5通过输送管路44与秸秆铺放装置连接，在输送管路44中有输送风机25产生的风力通过送风管26进行粉碎秸秆的强制输送。</w:t>
      </w:r>
    </w:p>
    <w:p w14:paraId="31C51292"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所述松土装置包括旋耕刀轴30、旋耕刀片31，旋耕刀片31通过螺栓固定在旋耕刀轴30上，旋耕刀轴30通过传动齿轮箱Ⅱ6、十字轴万向节Ⅳ29与换向变速箱Ⅱ22连接。</w:t>
      </w:r>
    </w:p>
    <w:p w14:paraId="70663823"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所述输送料斗21通过螺栓固定在输送链板47上，输送链板47通过链条安装在传动轴Ⅵ20和传动轴Ⅷ40上；所述输送料斗21上设有分离小孔，用于实现残膜和土的初步分离；所述传动轴Ⅵ20通过链传动与传动齿轮箱Ⅲ8连接。</w:t>
      </w:r>
    </w:p>
    <w:p w14:paraId="1C849366"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所述振动筛15后端通过吊杆安装在机架1上，前端与偏心轴13连接，通过偏心轴13的转动实现振动，振动筛15正上方设有钢刷组件37，所述钢刷组件37上设有钢刷，通过链条固定在传动轴Ⅴ17和传动轴Ⅶ38上，工作时钢刷组件37旋转方向与前进方向相反。</w:t>
      </w:r>
    </w:p>
    <w:p w14:paraId="25176D20"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在一个具体的实施例3中：如图1-6所示，一种多功能秸秆还田残膜回收一体机，包括机架1、秸秆粉碎装置、秸秆还田装置、松土装置、提土装置、碎土装置、分离装置和收集装置，所述秸秆粉碎装置位于该机前端，包括粉碎刀轴43、粉碎刀片2；所述秸秆还田装置包括秸秆侧移装置5、输送风机25、送风管26、输送管路44、秸秆铺放装置，位于秸秆粉碎装置后部；所述松土装置包括旋耕刀轴30、旋耕刀片31；所述提土装置位于松土装置后部，包括输送料斗21、输送链板47、传动轴Ⅵ20、传动轴Ⅷ40；所述碎土装置包括碎土刀片39、碎土轴14，安装在分离装置的前上方；所述分离装置位于提土装置后部，包括振动筛15、偏心轴13、钢刷组件37；所述分离装置后部设有收集装置，包括卸料板19、固定板16、卸料油缸18。</w:t>
      </w:r>
    </w:p>
    <w:p w14:paraId="0EC21987"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所述动力输入轴27前端与拖拉机的动力输出轴连接，后部通过万向节连接在换向变速箱Ⅰ24上，为整机输送动力。</w:t>
      </w:r>
    </w:p>
    <w:p w14:paraId="475A0CA9"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所述秸秆粉碎装置位于整机前端，包括粉碎刀轴43、粉碎刀片2，所述粉碎刀片2通过螺栓固定在粉碎刀轴43上，粉碎刀轴43分别过传动齿轮箱Ⅰ4、十字轴万向节Ⅰ3与换向变速箱Ⅰ24连接。</w:t>
      </w:r>
    </w:p>
    <w:p w14:paraId="64A48735"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所述秸秆侧移装置5包括螺旋式输送器、输送器壳，所述螺旋式输送器固定在输送器壳上，前端为敞口型；所述秸秆铺放装置包括铺放螺旋45、防堵装置46；所述秸秆侧移装置5通过输送管路44与秸秆铺放装置连接，在输送管路44中有输送风机25产生的风力通过送风管26进行粉碎秸秆的强制输送。</w:t>
      </w:r>
    </w:p>
    <w:p w14:paraId="16E3F7F7"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所述松土装置包括旋耕刀轴30、旋耕刀片31，旋耕刀片31通过螺栓固定在旋耕刀轴30上，旋耕刀轴30通过传动齿轮箱Ⅱ6、十字轴万向节Ⅳ29与换向变速箱Ⅱ22连接。</w:t>
      </w:r>
    </w:p>
    <w:p w14:paraId="42AC6DEF"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所述输送料斗21通过螺栓固定在输送链板47上，输送链板47通过链条安装在传动轴Ⅵ20和传动轴Ⅷ40上；所述输送料斗21上设有分离小孔，用于实现残膜和土的初步分离；所述传动轴Ⅵ20通过链传动与传动齿轮箱Ⅲ8连接。</w:t>
      </w:r>
    </w:p>
    <w:p w14:paraId="6C02544C"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所述振动筛15后端通过吊杆安装在机架1上，前端与偏心轴13连接，通过偏心轴13的转动实现振动，振动筛15正上方设有钢刷组件37，所述钢刷组件37上设有钢刷，通过链条固定在传动轴Ⅴ17和传动轴Ⅶ38上，工作时钢刷组件37旋转方向与前进方向相反。</w:t>
      </w:r>
    </w:p>
    <w:p w14:paraId="3068C5B8"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所述车桥铰接安装在机架1下部，机具运输时通过升降油缸35可升高整机高度，便于道路运输，工作时，限位块34可限制整机的工作高度，保持整机的稳定性。</w:t>
      </w:r>
    </w:p>
    <w:p w14:paraId="3E760314"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Cambria" w:eastAsia="Cambria" w:hAnsi="Cambria" w:cs="Cambria"/>
          <w:color w:val="000000"/>
          <w:sz w:val="22"/>
          <w:szCs w:val="22"/>
        </w:rPr>
        <w:t>虽然已经通过例子对本发明的一些特定实施例进行了详细说明，但是本领域的技术人员应该理解，以上例子仅是为了进行说明，而不是为了限制本发明的范围。本领域的技术人员应该理解，可在不脱离本发明的范围和精神的情况下，对以上实施例进行修改。本发明的范围由所附权利要求来限定。</w:t>
      </w:r>
    </w:p>
    <w:p w14:paraId="5060EAEF" w14:textId="77777777" w:rsidR="006A6257" w:rsidRDefault="00000000">
      <w:pPr>
        <w:spacing w:line="360" w:lineRule="auto"/>
        <w:ind w:firstLineChars="200" w:firstLine="440"/>
        <w:jc w:val="both"/>
        <w:rPr>
          <w:rFonts w:ascii="Cambria" w:eastAsia="Cambria" w:hAnsi="Cambria" w:cs="Cambria"/>
          <w:color w:val="000000"/>
          <w:sz w:val="22"/>
          <w:szCs w:val="22"/>
        </w:rPr>
      </w:pPr>
      <w:r>
        <w:rPr>
          <w:rFonts w:ascii="宋体" w:hAnsi="宋体" w:cs="宋体"/>
          <w:color w:val="000000"/>
          <w:sz w:val="22"/>
          <w:szCs w:val="22"/>
        </w:rPr>
        <w:br w:type="page"/>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6A6257" w14:paraId="755F769D" w14:textId="77777777">
        <w:tc>
          <w:tcPr>
            <w:tcW w:w="8522" w:type="dxa"/>
            <w:tcBorders>
              <w:top w:val="nil"/>
              <w:left w:val="nil"/>
              <w:bottom w:val="single" w:sz="12" w:space="0" w:color="auto"/>
              <w:right w:val="nil"/>
            </w:tcBorders>
          </w:tcPr>
          <w:p w14:paraId="3121B668" w14:textId="77777777" w:rsidR="00000000" w:rsidRDefault="00000000">
            <w:pPr>
              <w:jc w:val="center"/>
              <w:rPr>
                <w:rFonts w:ascii="宋体" w:hAnsi="宋体" w:cs="宋体"/>
                <w:b/>
                <w:color w:val="000000"/>
                <w:sz w:val="32"/>
                <w:szCs w:val="32"/>
              </w:rPr>
            </w:pPr>
            <w:r>
              <w:rPr>
                <w:rFonts w:ascii="宋体" w:hAnsi="宋体" w:cs="宋体" w:hint="eastAsia"/>
                <w:b/>
                <w:color w:val="000000"/>
                <w:sz w:val="32"/>
                <w:szCs w:val="32"/>
              </w:rPr>
              <w:t>说 明 书 附 图</w:t>
            </w:r>
          </w:p>
        </w:tc>
      </w:tr>
    </w:tbl>
    <w:p w14:paraId="6A566622" w14:textId="1BA0A892" w:rsidR="00000000" w:rsidRDefault="009D243A">
      <w:pPr>
        <w:jc w:val="center"/>
        <w:rPr>
          <w:rFonts w:ascii="宋体" w:hAnsi="宋体" w:cs="宋体"/>
          <w:b/>
          <w:color w:val="000000"/>
          <w:sz w:val="26"/>
          <w:szCs w:val="22"/>
        </w:rPr>
      </w:pPr>
      <w:r>
        <w:rPr>
          <w:rFonts w:ascii="宋体" w:hAnsi="宋体" w:cs="宋体"/>
          <w:b/>
          <w:noProof/>
          <w:color w:val="000000"/>
          <w:sz w:val="26"/>
          <w:szCs w:val="22"/>
        </w:rPr>
        <w:drawing>
          <wp:inline distT="0" distB="0" distL="0" distR="0" wp14:anchorId="0495BDD0" wp14:editId="7368EEDE">
            <wp:extent cx="4762500" cy="3581400"/>
            <wp:effectExtent l="0" t="0" r="0" b="0"/>
            <wp:docPr id="176479689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3581400"/>
                    </a:xfrm>
                    <a:prstGeom prst="rect">
                      <a:avLst/>
                    </a:prstGeom>
                    <a:noFill/>
                    <a:ln>
                      <a:noFill/>
                    </a:ln>
                  </pic:spPr>
                </pic:pic>
              </a:graphicData>
            </a:graphic>
          </wp:inline>
        </w:drawing>
      </w:r>
    </w:p>
    <w:p w14:paraId="0F99255C" w14:textId="77777777" w:rsidR="006A6257" w:rsidRDefault="006A6257">
      <w:pPr>
        <w:jc w:val="center"/>
        <w:rPr>
          <w:rFonts w:ascii="宋体" w:hAnsi="宋体" w:cs="宋体"/>
          <w:b/>
          <w:color w:val="000000"/>
          <w:sz w:val="26"/>
          <w:szCs w:val="22"/>
        </w:rPr>
      </w:pPr>
    </w:p>
    <w:p w14:paraId="013AE955" w14:textId="0C0630E9" w:rsidR="006A6257" w:rsidRDefault="009D243A">
      <w:pPr>
        <w:jc w:val="center"/>
        <w:rPr>
          <w:rFonts w:ascii="宋体" w:hAnsi="宋体" w:cs="宋体"/>
          <w:b/>
          <w:color w:val="000000"/>
          <w:sz w:val="26"/>
          <w:szCs w:val="22"/>
        </w:rPr>
      </w:pPr>
      <w:r>
        <w:rPr>
          <w:rFonts w:ascii="宋体" w:hAnsi="宋体" w:cs="宋体"/>
          <w:b/>
          <w:noProof/>
          <w:color w:val="000000"/>
          <w:sz w:val="26"/>
          <w:szCs w:val="22"/>
        </w:rPr>
        <w:drawing>
          <wp:inline distT="0" distB="0" distL="0" distR="0" wp14:anchorId="7F9F808B" wp14:editId="095B3B7F">
            <wp:extent cx="4762500" cy="3695700"/>
            <wp:effectExtent l="0" t="0" r="0" b="0"/>
            <wp:docPr id="196981923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3695700"/>
                    </a:xfrm>
                    <a:prstGeom prst="rect">
                      <a:avLst/>
                    </a:prstGeom>
                    <a:noFill/>
                    <a:ln>
                      <a:noFill/>
                    </a:ln>
                  </pic:spPr>
                </pic:pic>
              </a:graphicData>
            </a:graphic>
          </wp:inline>
        </w:drawing>
      </w:r>
    </w:p>
    <w:p w14:paraId="4C160A1D" w14:textId="77777777" w:rsidR="006A6257" w:rsidRDefault="006A6257">
      <w:pPr>
        <w:jc w:val="center"/>
        <w:rPr>
          <w:rFonts w:ascii="宋体" w:hAnsi="宋体" w:cs="宋体"/>
          <w:b/>
          <w:color w:val="000000"/>
          <w:sz w:val="26"/>
          <w:szCs w:val="22"/>
        </w:rPr>
      </w:pPr>
    </w:p>
    <w:p w14:paraId="048EE922" w14:textId="0100692E" w:rsidR="006A6257" w:rsidRDefault="009D243A">
      <w:pPr>
        <w:jc w:val="center"/>
        <w:rPr>
          <w:rFonts w:ascii="宋体" w:hAnsi="宋体" w:cs="宋体"/>
          <w:b/>
          <w:color w:val="000000"/>
          <w:sz w:val="26"/>
          <w:szCs w:val="22"/>
        </w:rPr>
      </w:pPr>
      <w:r>
        <w:rPr>
          <w:rFonts w:ascii="宋体" w:hAnsi="宋体" w:cs="宋体"/>
          <w:b/>
          <w:noProof/>
          <w:color w:val="000000"/>
          <w:sz w:val="26"/>
          <w:szCs w:val="22"/>
        </w:rPr>
        <w:drawing>
          <wp:inline distT="0" distB="0" distL="0" distR="0" wp14:anchorId="2513463D" wp14:editId="58EC6C37">
            <wp:extent cx="4762500" cy="352806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3528060"/>
                    </a:xfrm>
                    <a:prstGeom prst="rect">
                      <a:avLst/>
                    </a:prstGeom>
                    <a:noFill/>
                    <a:ln>
                      <a:noFill/>
                    </a:ln>
                  </pic:spPr>
                </pic:pic>
              </a:graphicData>
            </a:graphic>
          </wp:inline>
        </w:drawing>
      </w:r>
    </w:p>
    <w:p w14:paraId="7992802F" w14:textId="77777777" w:rsidR="006A6257" w:rsidRDefault="006A6257">
      <w:pPr>
        <w:jc w:val="center"/>
        <w:rPr>
          <w:rFonts w:ascii="宋体" w:hAnsi="宋体" w:cs="宋体"/>
          <w:b/>
          <w:color w:val="000000"/>
          <w:sz w:val="26"/>
          <w:szCs w:val="22"/>
        </w:rPr>
      </w:pPr>
    </w:p>
    <w:p w14:paraId="044C8C2E" w14:textId="06EE75CD" w:rsidR="006A6257" w:rsidRDefault="009D243A">
      <w:pPr>
        <w:jc w:val="center"/>
        <w:rPr>
          <w:rFonts w:ascii="宋体" w:hAnsi="宋体" w:cs="宋体"/>
          <w:b/>
          <w:color w:val="000000"/>
          <w:sz w:val="26"/>
          <w:szCs w:val="22"/>
        </w:rPr>
      </w:pPr>
      <w:r>
        <w:rPr>
          <w:rFonts w:ascii="宋体" w:hAnsi="宋体" w:cs="宋体"/>
          <w:b/>
          <w:noProof/>
          <w:color w:val="000000"/>
          <w:sz w:val="26"/>
          <w:szCs w:val="22"/>
        </w:rPr>
        <w:drawing>
          <wp:inline distT="0" distB="0" distL="0" distR="0" wp14:anchorId="6F7A61CE" wp14:editId="243E5924">
            <wp:extent cx="4762500" cy="3086100"/>
            <wp:effectExtent l="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3086100"/>
                    </a:xfrm>
                    <a:prstGeom prst="rect">
                      <a:avLst/>
                    </a:prstGeom>
                    <a:noFill/>
                    <a:ln>
                      <a:noFill/>
                    </a:ln>
                  </pic:spPr>
                </pic:pic>
              </a:graphicData>
            </a:graphic>
          </wp:inline>
        </w:drawing>
      </w:r>
    </w:p>
    <w:p w14:paraId="07AA72FE" w14:textId="77777777" w:rsidR="006A6257" w:rsidRDefault="006A6257">
      <w:pPr>
        <w:jc w:val="center"/>
        <w:rPr>
          <w:rFonts w:ascii="宋体" w:hAnsi="宋体" w:cs="宋体"/>
          <w:b/>
          <w:color w:val="000000"/>
          <w:sz w:val="26"/>
          <w:szCs w:val="22"/>
        </w:rPr>
      </w:pPr>
    </w:p>
    <w:p w14:paraId="310A292E" w14:textId="647ED8B7" w:rsidR="006A6257" w:rsidRDefault="009D243A">
      <w:pPr>
        <w:jc w:val="center"/>
        <w:rPr>
          <w:rFonts w:ascii="宋体" w:hAnsi="宋体" w:cs="宋体"/>
          <w:b/>
          <w:color w:val="000000"/>
          <w:sz w:val="26"/>
          <w:szCs w:val="22"/>
        </w:rPr>
      </w:pPr>
      <w:r>
        <w:rPr>
          <w:rFonts w:ascii="宋体" w:hAnsi="宋体" w:cs="宋体"/>
          <w:b/>
          <w:noProof/>
          <w:color w:val="000000"/>
          <w:sz w:val="26"/>
          <w:szCs w:val="22"/>
        </w:rPr>
        <w:drawing>
          <wp:inline distT="0" distB="0" distL="0" distR="0" wp14:anchorId="45071F43" wp14:editId="58703A71">
            <wp:extent cx="4762500" cy="2674620"/>
            <wp:effectExtent l="0" t="0" r="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0" cy="2674620"/>
                    </a:xfrm>
                    <a:prstGeom prst="rect">
                      <a:avLst/>
                    </a:prstGeom>
                    <a:noFill/>
                    <a:ln>
                      <a:noFill/>
                    </a:ln>
                  </pic:spPr>
                </pic:pic>
              </a:graphicData>
            </a:graphic>
          </wp:inline>
        </w:drawing>
      </w:r>
    </w:p>
    <w:p w14:paraId="6DDA984F" w14:textId="77777777" w:rsidR="006A6257" w:rsidRDefault="006A6257">
      <w:pPr>
        <w:jc w:val="center"/>
        <w:rPr>
          <w:rFonts w:ascii="宋体" w:hAnsi="宋体" w:cs="宋体"/>
          <w:b/>
          <w:color w:val="000000"/>
          <w:sz w:val="26"/>
          <w:szCs w:val="22"/>
        </w:rPr>
      </w:pPr>
    </w:p>
    <w:p w14:paraId="7611FD4A" w14:textId="06C8C3CD" w:rsidR="006A6257" w:rsidRDefault="009D243A">
      <w:pPr>
        <w:jc w:val="center"/>
        <w:rPr>
          <w:rFonts w:ascii="宋体" w:hAnsi="宋体" w:cs="宋体"/>
          <w:b/>
          <w:color w:val="000000"/>
          <w:sz w:val="26"/>
          <w:szCs w:val="22"/>
        </w:rPr>
      </w:pPr>
      <w:r>
        <w:rPr>
          <w:rFonts w:ascii="宋体" w:hAnsi="宋体" w:cs="宋体"/>
          <w:b/>
          <w:noProof/>
          <w:color w:val="000000"/>
          <w:sz w:val="26"/>
          <w:szCs w:val="22"/>
        </w:rPr>
        <w:drawing>
          <wp:inline distT="0" distB="0" distL="0" distR="0" wp14:anchorId="3D4717E5" wp14:editId="0352490A">
            <wp:extent cx="4762500" cy="3832860"/>
            <wp:effectExtent l="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0" cy="3832860"/>
                    </a:xfrm>
                    <a:prstGeom prst="rect">
                      <a:avLst/>
                    </a:prstGeom>
                    <a:noFill/>
                    <a:ln>
                      <a:noFill/>
                    </a:ln>
                  </pic:spPr>
                </pic:pic>
              </a:graphicData>
            </a:graphic>
          </wp:inline>
        </w:drawing>
      </w:r>
    </w:p>
    <w:p w14:paraId="2B2F03FC" w14:textId="77777777" w:rsidR="006A6257" w:rsidRDefault="006A6257">
      <w:pPr>
        <w:jc w:val="center"/>
        <w:rPr>
          <w:rFonts w:ascii="宋体" w:hAnsi="宋体" w:cs="宋体"/>
          <w:b/>
          <w:color w:val="000000"/>
          <w:sz w:val="26"/>
          <w:szCs w:val="22"/>
        </w:rPr>
      </w:pPr>
    </w:p>
    <w:p w14:paraId="45B89704" w14:textId="77777777" w:rsidR="006A6257" w:rsidRDefault="006A6257">
      <w:pPr>
        <w:jc w:val="center"/>
        <w:rPr>
          <w:rFonts w:ascii="宋体" w:hAnsi="宋体" w:cs="宋体"/>
          <w:b/>
          <w:color w:val="000000"/>
          <w:sz w:val="26"/>
          <w:szCs w:val="22"/>
        </w:rPr>
      </w:pPr>
    </w:p>
    <w:sectPr w:rsidR="006A6257">
      <w:footerReference w:type="default" r:id="rId17"/>
      <w:pgSz w:w="11906" w:h="16838"/>
      <w:pgMar w:top="1440" w:right="1800" w:bottom="1440" w:left="1800" w:header="709" w:footer="70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7207C" w14:textId="77777777" w:rsidR="00327264" w:rsidRDefault="00327264">
      <w:r>
        <w:separator/>
      </w:r>
    </w:p>
  </w:endnote>
  <w:endnote w:type="continuationSeparator" w:id="0">
    <w:p w14:paraId="0703273A" w14:textId="77777777" w:rsidR="00327264" w:rsidRDefault="00327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9550" w14:textId="77777777" w:rsidR="00000000" w:rsidRDefault="00000000">
    <w:pPr>
      <w:pStyle w:val="a5"/>
    </w:pPr>
    <w:r>
      <w:rPr>
        <w:noProof/>
      </w:rPr>
      <mc:AlternateContent>
        <mc:Choice Requires="wps">
          <w:drawing>
            <wp:anchor distT="0" distB="0" distL="114300" distR="114300" simplePos="0" relativeHeight="251658240" behindDoc="0" locked="0" layoutInCell="1" allowOverlap="1" wp14:anchorId="3DCDD0C5" wp14:editId="1BCEFC25">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E6A7F34" w14:textId="77777777" w:rsidR="00000000"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1</w:t>
                          </w:r>
                          <w:r>
                            <w:rPr>
                              <w:rFonts w:hint="eastAsia"/>
                              <w:sz w:val="18"/>
                            </w:rPr>
                            <w:fldChar w:fldCharType="end"/>
                          </w:r>
                        </w:p>
                      </w:txbxContent>
                    </wps:txbx>
                    <wps:bodyPr wrap="none" lIns="0" tIns="0" rIns="0" bIns="0" upright="1">
                      <a:spAutoFit/>
                    </wps:bodyPr>
                  </wps:wsp>
                </a:graphicData>
              </a:graphic>
            </wp:anchor>
          </w:drawing>
        </mc:Choice>
        <mc:Fallback>
          <w:pict>
            <v:shapetype w14:anchorId="3DCDD0C5" id="_x0000_t202" coordsize="21600,21600" o:spt="202" path="m,l,21600r21600,l21600,xe">
              <v:stroke joinstyle="miter"/>
              <v:path gradientshapeok="t" o:connecttype="rect"/>
            </v:shapetype>
            <v:shape id="文本框 2" o:spid="_x0000_s1027"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" filled="f" stroked="f">
              <v:textbox style="mso-fit-shape-to-text:t" inset="0,0,0,0">
                <w:txbxContent>
                  <w:p w14:paraId="5E6A7F34" w14:textId="77777777" w:rsidR="00000000"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F9769" w14:textId="77777777" w:rsidR="00327264" w:rsidRDefault="00327264">
      <w:r>
        <w:separator/>
      </w:r>
    </w:p>
  </w:footnote>
  <w:footnote w:type="continuationSeparator" w:id="0">
    <w:p w14:paraId="1A513AE0" w14:textId="77777777" w:rsidR="00327264" w:rsidRDefault="003272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720"/>
  <w:noPunctuationKerning/>
  <w:characterSpacingControl w:val="doNotCompress"/>
  <w:savePreviewPicture/>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257"/>
    <w:rsid w:val="00327264"/>
    <w:rsid w:val="006A6257"/>
    <w:rsid w:val="009D243A"/>
    <w:rsid w:val="00A90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691C6"/>
  <w15:docId w15:val="{93560C37-A4B4-4828-9DC2-D490B4739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link w:val="a6"/>
    <w:qFormat/>
    <w:pPr>
      <w:tabs>
        <w:tab w:val="center" w:pos="4153"/>
        <w:tab w:val="right" w:pos="8306"/>
      </w:tabs>
      <w:snapToGrid w:val="0"/>
    </w:pPr>
    <w:rPr>
      <w:sz w:val="18"/>
      <w:szCs w:val="18"/>
    </w:rPr>
  </w:style>
  <w:style w:type="paragraph" w:styleId="a7">
    <w:name w:val="header"/>
    <w:basedOn w:val="a"/>
    <w:link w:val="a8"/>
    <w:uiPriority w:val="99"/>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link w:val="a3"/>
    <w:rPr>
      <w:sz w:val="18"/>
      <w:szCs w:val="18"/>
    </w:rPr>
  </w:style>
  <w:style w:type="character" w:customStyle="1" w:styleId="a8">
    <w:name w:val="页眉 字符"/>
    <w:link w:val="a7"/>
    <w:uiPriority w:val="99"/>
    <w:qFormat/>
    <w:rPr>
      <w:sz w:val="18"/>
      <w:szCs w:val="18"/>
    </w:rPr>
  </w:style>
  <w:style w:type="character" w:customStyle="1" w:styleId="a6">
    <w:name w:val="页脚 字符"/>
    <w:link w:val="a5"/>
    <w:rPr>
      <w:sz w:val="18"/>
      <w:szCs w:val="18"/>
    </w:rPr>
  </w:style>
  <w:style w:type="paragraph" w:customStyle="1" w:styleId="1">
    <w:name w:val="无间隔1"/>
    <w:link w:val="aa"/>
    <w:uiPriority w:val="1"/>
    <w:qFormat/>
    <w:rPr>
      <w:rFonts w:ascii="Calibri" w:hAnsi="Calibri"/>
      <w:sz w:val="22"/>
      <w:szCs w:val="22"/>
    </w:rPr>
  </w:style>
  <w:style w:type="character" w:customStyle="1" w:styleId="aa">
    <w:name w:val="无间隔 字符"/>
    <w:link w:val="1"/>
    <w:uiPriority w:val="1"/>
    <w:rPr>
      <w:rFonts w:ascii="Calibri" w:hAnsi="Calibri"/>
      <w:sz w:val="22"/>
      <w:szCs w:val="22"/>
    </w:rPr>
  </w:style>
  <w:style w:type="paragraph" w:styleId="ab">
    <w:name w:val="Revision"/>
    <w:hidden/>
    <w:uiPriority w:val="99"/>
    <w:semiHidden/>
    <w:rsid w:val="009D243A"/>
    <w:rPr>
      <w:sz w:val="24"/>
      <w:szCs w:val="24"/>
    </w:rPr>
  </w:style>
  <w:style w:type="paragraph" w:styleId="ac">
    <w:name w:val="List Paragraph"/>
    <w:basedOn w:val="a"/>
    <w:uiPriority w:val="99"/>
    <w:rsid w:val="009D243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7FFCBB9A-47B7-43F2-B104-4981DB117F3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1631</Words>
  <Characters>9302</Characters>
  <Application>Microsoft Office Word</Application>
  <DocSecurity>0</DocSecurity>
  <Lines>77</Lines>
  <Paragraphs>21</Paragraphs>
  <ScaleCrop>false</ScaleCrop>
  <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（19）中国人民共和国国家知识产权局</dc:title>
  <dc:creator>王彬彬</dc:creator>
  <cp:keywords>PubNum</cp:keywords>
  <cp:lastModifiedBy>思宇 赖</cp:lastModifiedBy>
  <cp:revision>2</cp:revision>
  <dcterms:created xsi:type="dcterms:W3CDTF">2023-10-20T07:38:00Z</dcterms:created>
  <dcterms:modified xsi:type="dcterms:W3CDTF">2023-10-20T07:38:00Z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