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71555" w14:textId="77777777" w:rsidR="00946C2F" w:rsidRDefault="00946C2F"/>
    <w:p w14:paraId="2B7A2BA8" w14:textId="77777777" w:rsidR="00946C2F" w:rsidRDefault="00000000">
      <w:pPr>
        <w:widowControl/>
        <w:spacing w:line="360" w:lineRule="auto"/>
        <w:ind w:firstLineChars="200" w:firstLine="480"/>
        <w:jc w:val="left"/>
        <w:rPr>
          <w:sz w:val="24"/>
          <w:szCs w:val="24"/>
        </w:rPr>
      </w:pPr>
      <w:r>
        <w:rPr>
          <w:rFonts w:hint="eastAsia"/>
          <w:sz w:val="24"/>
          <w:szCs w:val="24"/>
        </w:rPr>
        <w:t>本发明公开了</w:t>
      </w:r>
      <w:r>
        <w:rPr>
          <w:rFonts w:ascii="宋体" w:hAnsi="宋体" w:cs="宋体" w:hint="eastAsia"/>
          <w:color w:val="060607"/>
          <w:kern w:val="0"/>
          <w:sz w:val="24"/>
          <w:szCs w:val="24"/>
        </w:rPr>
        <w:t>一种</w:t>
      </w:r>
      <w:r>
        <w:rPr>
          <w:rFonts w:ascii="Times New Roman" w:hAnsi="Times New Roman" w:hint="eastAsia"/>
          <w:kern w:val="28"/>
          <w:sz w:val="24"/>
          <w:szCs w:val="24"/>
        </w:rPr>
        <w:t>水包油包水型复合乳液及其制备方法</w:t>
      </w:r>
      <w:r>
        <w:rPr>
          <w:rFonts w:ascii="Times New Roman" w:hAnsi="Times New Roman" w:hint="eastAsia"/>
          <w:color w:val="000000"/>
          <w:sz w:val="24"/>
          <w:szCs w:val="24"/>
        </w:rPr>
        <w:t>，</w:t>
      </w:r>
      <w:r>
        <w:rPr>
          <w:rFonts w:ascii="Times New Roman" w:hAnsi="Times New Roman" w:hint="eastAsia"/>
          <w:kern w:val="28"/>
          <w:sz w:val="24"/>
          <w:szCs w:val="24"/>
        </w:rPr>
        <w:t>所述复合乳液具有</w:t>
      </w:r>
      <w:r>
        <w:rPr>
          <w:rFonts w:ascii="Times New Roman" w:hAnsi="Times New Roman" w:hint="eastAsia"/>
          <w:kern w:val="28"/>
          <w:sz w:val="24"/>
          <w:szCs w:val="24"/>
        </w:rPr>
        <w:t>W</w:t>
      </w:r>
      <w:r>
        <w:rPr>
          <w:rFonts w:ascii="Times New Roman" w:hAnsi="Times New Roman" w:hint="eastAsia"/>
          <w:kern w:val="28"/>
          <w:sz w:val="24"/>
          <w:szCs w:val="24"/>
          <w:vertAlign w:val="subscript"/>
        </w:rPr>
        <w:t>1</w:t>
      </w:r>
      <w:r>
        <w:rPr>
          <w:rFonts w:ascii="Times New Roman" w:hAnsi="Times New Roman" w:hint="eastAsia"/>
          <w:kern w:val="28"/>
          <w:sz w:val="24"/>
          <w:szCs w:val="24"/>
        </w:rPr>
        <w:t>/O/W</w:t>
      </w:r>
      <w:r>
        <w:rPr>
          <w:rFonts w:ascii="Times New Roman" w:hAnsi="Times New Roman" w:hint="eastAsia"/>
          <w:kern w:val="28"/>
          <w:sz w:val="24"/>
          <w:szCs w:val="24"/>
          <w:vertAlign w:val="subscript"/>
        </w:rPr>
        <w:t>2</w:t>
      </w:r>
      <w:r>
        <w:rPr>
          <w:rFonts w:ascii="Times New Roman" w:hAnsi="Times New Roman" w:hint="eastAsia"/>
          <w:kern w:val="28"/>
          <w:sz w:val="24"/>
          <w:szCs w:val="24"/>
        </w:rPr>
        <w:t>双重乳液结构，所述</w:t>
      </w:r>
      <w:r>
        <w:rPr>
          <w:rFonts w:ascii="Times New Roman" w:hAnsi="Times New Roman" w:hint="eastAsia"/>
          <w:kern w:val="28"/>
          <w:sz w:val="24"/>
          <w:szCs w:val="24"/>
        </w:rPr>
        <w:t>W</w:t>
      </w:r>
      <w:r>
        <w:rPr>
          <w:rFonts w:ascii="Times New Roman" w:hAnsi="Times New Roman" w:hint="eastAsia"/>
          <w:kern w:val="28"/>
          <w:sz w:val="24"/>
          <w:szCs w:val="24"/>
          <w:vertAlign w:val="subscript"/>
        </w:rPr>
        <w:t>1</w:t>
      </w:r>
      <w:r>
        <w:rPr>
          <w:rFonts w:ascii="Times New Roman" w:hAnsi="Times New Roman"/>
          <w:kern w:val="28"/>
          <w:sz w:val="24"/>
          <w:szCs w:val="24"/>
        </w:rPr>
        <w:t>为内水相</w:t>
      </w:r>
      <w:r>
        <w:rPr>
          <w:rFonts w:ascii="Times New Roman" w:hAnsi="Times New Roman" w:hint="eastAsia"/>
          <w:kern w:val="28"/>
          <w:sz w:val="24"/>
          <w:szCs w:val="24"/>
        </w:rPr>
        <w:t>、</w:t>
      </w:r>
      <w:r>
        <w:rPr>
          <w:rFonts w:ascii="Times New Roman" w:hAnsi="Times New Roman" w:hint="eastAsia"/>
          <w:kern w:val="28"/>
          <w:sz w:val="24"/>
          <w:szCs w:val="24"/>
        </w:rPr>
        <w:t>O</w:t>
      </w:r>
      <w:r>
        <w:rPr>
          <w:rFonts w:ascii="Times New Roman" w:hAnsi="Times New Roman"/>
          <w:kern w:val="28"/>
          <w:sz w:val="24"/>
          <w:szCs w:val="24"/>
        </w:rPr>
        <w:t>为油相</w:t>
      </w:r>
      <w:r>
        <w:rPr>
          <w:rFonts w:ascii="Times New Roman" w:hAnsi="Times New Roman" w:hint="eastAsia"/>
          <w:kern w:val="28"/>
          <w:sz w:val="24"/>
          <w:szCs w:val="24"/>
        </w:rPr>
        <w:t>、</w:t>
      </w:r>
      <w:r>
        <w:rPr>
          <w:rFonts w:ascii="Times New Roman" w:hAnsi="Times New Roman" w:hint="eastAsia"/>
          <w:kern w:val="28"/>
          <w:sz w:val="24"/>
          <w:szCs w:val="24"/>
        </w:rPr>
        <w:t>W</w:t>
      </w:r>
      <w:r>
        <w:rPr>
          <w:rFonts w:ascii="Times New Roman" w:hAnsi="Times New Roman" w:hint="eastAsia"/>
          <w:kern w:val="28"/>
          <w:sz w:val="24"/>
          <w:szCs w:val="24"/>
          <w:vertAlign w:val="subscript"/>
        </w:rPr>
        <w:t>2</w:t>
      </w:r>
      <w:r>
        <w:rPr>
          <w:rFonts w:ascii="Times New Roman" w:hAnsi="Times New Roman"/>
          <w:kern w:val="28"/>
          <w:sz w:val="24"/>
          <w:szCs w:val="24"/>
        </w:rPr>
        <w:t>为外水相</w:t>
      </w:r>
      <w:r>
        <w:rPr>
          <w:rFonts w:ascii="Times New Roman" w:hAnsi="Times New Roman" w:hint="eastAsia"/>
          <w:kern w:val="28"/>
          <w:sz w:val="24"/>
          <w:szCs w:val="24"/>
        </w:rPr>
        <w:t>，所述外水相为蛋白质</w:t>
      </w:r>
      <w:r>
        <w:rPr>
          <w:rFonts w:ascii="Times New Roman" w:hAnsi="Times New Roman" w:hint="eastAsia"/>
          <w:kern w:val="28"/>
          <w:sz w:val="24"/>
          <w:szCs w:val="24"/>
        </w:rPr>
        <w:t>-</w:t>
      </w:r>
      <w:r>
        <w:rPr>
          <w:rFonts w:ascii="Times New Roman" w:hAnsi="Times New Roman" w:hint="eastAsia"/>
          <w:kern w:val="28"/>
          <w:sz w:val="24"/>
          <w:szCs w:val="24"/>
        </w:rPr>
        <w:t>多糖复合物，所述内水相由绿原酸水溶液制备而成，所述油相由大豆油和聚甘油蓖麻醇酸</w:t>
      </w:r>
      <w:proofErr w:type="gramStart"/>
      <w:r>
        <w:rPr>
          <w:rFonts w:ascii="Times New Roman" w:hAnsi="Times New Roman" w:hint="eastAsia"/>
          <w:kern w:val="28"/>
          <w:sz w:val="24"/>
          <w:szCs w:val="24"/>
        </w:rPr>
        <w:t>酯</w:t>
      </w:r>
      <w:proofErr w:type="gramEnd"/>
      <w:r>
        <w:rPr>
          <w:rFonts w:ascii="Times New Roman" w:hAnsi="Times New Roman" w:hint="eastAsia"/>
          <w:kern w:val="28"/>
          <w:sz w:val="24"/>
          <w:szCs w:val="24"/>
        </w:rPr>
        <w:t>制备而成。</w:t>
      </w:r>
      <w:r>
        <w:rPr>
          <w:rFonts w:ascii="Times New Roman" w:hAnsi="Times New Roman" w:hint="eastAsia"/>
          <w:color w:val="000000"/>
          <w:sz w:val="24"/>
          <w:szCs w:val="24"/>
        </w:rPr>
        <w:t>本发明的乳液在外水相由牛乳清蛋白</w:t>
      </w:r>
      <w:proofErr w:type="gramStart"/>
      <w:r>
        <w:rPr>
          <w:rFonts w:ascii="Times New Roman" w:hAnsi="Times New Roman" w:hint="eastAsia"/>
          <w:color w:val="000000"/>
          <w:sz w:val="24"/>
          <w:szCs w:val="24"/>
        </w:rPr>
        <w:t>和高酯果胶</w:t>
      </w:r>
      <w:proofErr w:type="gramEnd"/>
      <w:r>
        <w:rPr>
          <w:rFonts w:ascii="Times New Roman" w:hAnsi="Times New Roman" w:hint="eastAsia"/>
          <w:color w:val="000000"/>
          <w:sz w:val="24"/>
          <w:szCs w:val="24"/>
        </w:rPr>
        <w:t>配置而成，有利于提高绿原酸的包封率，</w:t>
      </w:r>
      <w:r>
        <w:rPr>
          <w:rFonts w:ascii="Times New Roman" w:hAnsi="Times New Roman" w:hint="eastAsia"/>
          <w:kern w:val="28"/>
          <w:sz w:val="24"/>
          <w:szCs w:val="24"/>
        </w:rPr>
        <w:t>牛乳清蛋白粉溶液</w:t>
      </w:r>
      <w:proofErr w:type="gramStart"/>
      <w:r>
        <w:rPr>
          <w:rFonts w:ascii="Times New Roman" w:hAnsi="Times New Roman" w:hint="eastAsia"/>
          <w:kern w:val="28"/>
          <w:sz w:val="24"/>
          <w:szCs w:val="24"/>
        </w:rPr>
        <w:t>与高酯果胶</w:t>
      </w:r>
      <w:proofErr w:type="gramEnd"/>
      <w:r>
        <w:rPr>
          <w:rFonts w:ascii="Times New Roman" w:hAnsi="Times New Roman" w:hint="eastAsia"/>
          <w:kern w:val="28"/>
          <w:sz w:val="24"/>
          <w:szCs w:val="24"/>
        </w:rPr>
        <w:t>粉溶液体积比为</w:t>
      </w:r>
      <w:r>
        <w:rPr>
          <w:rFonts w:ascii="Times New Roman" w:hAnsi="Times New Roman"/>
          <w:kern w:val="28"/>
          <w:sz w:val="24"/>
          <w:szCs w:val="24"/>
        </w:rPr>
        <w:t>1:5</w:t>
      </w:r>
      <w:r>
        <w:rPr>
          <w:rFonts w:ascii="Times New Roman" w:hAnsi="Times New Roman" w:hint="eastAsia"/>
          <w:kern w:val="28"/>
          <w:sz w:val="24"/>
          <w:szCs w:val="24"/>
        </w:rPr>
        <w:t>的水包油包水型绿原酸复合乳液包埋率最高，为</w:t>
      </w:r>
      <w:r>
        <w:rPr>
          <w:rFonts w:ascii="Times New Roman" w:hAnsi="Times New Roman"/>
          <w:kern w:val="28"/>
          <w:sz w:val="24"/>
          <w:szCs w:val="24"/>
        </w:rPr>
        <w:t>94.52</w:t>
      </w:r>
      <w:r>
        <w:rPr>
          <w:rFonts w:ascii="Times New Roman" w:hAnsi="Times New Roman" w:hint="eastAsia"/>
          <w:kern w:val="28"/>
          <w:sz w:val="24"/>
          <w:szCs w:val="24"/>
        </w:rPr>
        <w:t>％，对</w:t>
      </w:r>
      <w:r>
        <w:rPr>
          <w:rFonts w:ascii="Times New Roman" w:hAnsi="Times New Roman"/>
          <w:kern w:val="28"/>
          <w:sz w:val="24"/>
          <w:szCs w:val="24"/>
        </w:rPr>
        <w:t>DPPH</w:t>
      </w:r>
      <w:r>
        <w:rPr>
          <w:rFonts w:ascii="Times New Roman" w:hAnsi="Times New Roman" w:hint="eastAsia"/>
          <w:kern w:val="28"/>
          <w:sz w:val="24"/>
          <w:szCs w:val="24"/>
        </w:rPr>
        <w:t>自由基清除</w:t>
      </w:r>
      <w:proofErr w:type="gramStart"/>
      <w:r>
        <w:rPr>
          <w:rFonts w:ascii="Times New Roman" w:hAnsi="Times New Roman" w:hint="eastAsia"/>
          <w:kern w:val="28"/>
          <w:sz w:val="24"/>
          <w:szCs w:val="24"/>
        </w:rPr>
        <w:t>活性是</w:t>
      </w:r>
      <w:proofErr w:type="gramEnd"/>
      <w:r>
        <w:rPr>
          <w:rFonts w:ascii="Times New Roman" w:hAnsi="Times New Roman" w:hint="eastAsia"/>
          <w:kern w:val="28"/>
          <w:sz w:val="24"/>
          <w:szCs w:val="24"/>
        </w:rPr>
        <w:t>等浓度绿原酸单体的</w:t>
      </w:r>
      <w:r>
        <w:rPr>
          <w:rFonts w:ascii="Times New Roman" w:hAnsi="Times New Roman"/>
          <w:kern w:val="28"/>
          <w:sz w:val="24"/>
          <w:szCs w:val="24"/>
        </w:rPr>
        <w:t>1.59</w:t>
      </w:r>
      <w:r>
        <w:rPr>
          <w:rFonts w:ascii="Times New Roman" w:hAnsi="Times New Roman" w:hint="eastAsia"/>
          <w:kern w:val="28"/>
          <w:sz w:val="24"/>
          <w:szCs w:val="24"/>
        </w:rPr>
        <w:t>倍。</w:t>
      </w:r>
      <w:r>
        <w:rPr>
          <w:rFonts w:ascii="Times New Roman" w:hAnsi="Times New Roman" w:hint="eastAsia"/>
          <w:color w:val="000000"/>
          <w:sz w:val="24"/>
          <w:szCs w:val="24"/>
        </w:rPr>
        <w:t>同时在体内也可更有效抵抗胃酸的侵蚀，</w:t>
      </w:r>
      <w:proofErr w:type="gramStart"/>
      <w:r>
        <w:rPr>
          <w:rFonts w:ascii="Times New Roman" w:hAnsi="Times New Roman" w:hint="eastAsia"/>
          <w:color w:val="000000"/>
          <w:sz w:val="24"/>
          <w:szCs w:val="24"/>
        </w:rPr>
        <w:t>使较高</w:t>
      </w:r>
      <w:proofErr w:type="gramEnd"/>
      <w:r>
        <w:rPr>
          <w:rFonts w:ascii="Times New Roman" w:hAnsi="Times New Roman" w:hint="eastAsia"/>
          <w:color w:val="000000"/>
          <w:sz w:val="24"/>
          <w:szCs w:val="24"/>
        </w:rPr>
        <w:t>含量的绿原酸到达肠道内定植从而发挥抗炎活性。</w:t>
      </w:r>
    </w:p>
    <w:p w14:paraId="08E99457" w14:textId="77777777" w:rsidR="00946C2F" w:rsidRDefault="00946C2F">
      <w:pPr>
        <w:widowControl/>
        <w:spacing w:line="360" w:lineRule="auto"/>
        <w:ind w:firstLineChars="200" w:firstLine="480"/>
        <w:jc w:val="left"/>
        <w:rPr>
          <w:rFonts w:ascii="Times New Roman" w:hAnsi="Times New Roman"/>
          <w:sz w:val="24"/>
          <w:szCs w:val="24"/>
        </w:rPr>
        <w:sectPr w:rsidR="00946C2F">
          <w:headerReference w:type="default" r:id="rId8"/>
          <w:footerReference w:type="default" r:id="rId9"/>
          <w:pgSz w:w="11906" w:h="16838"/>
          <w:pgMar w:top="1588" w:right="1134" w:bottom="1134" w:left="1588" w:header="1134" w:footer="851" w:gutter="0"/>
          <w:lnNumType w:countBy="5"/>
          <w:pgNumType w:start="1"/>
          <w:cols w:space="425"/>
          <w:docGrid w:type="lines" w:linePitch="312"/>
        </w:sectPr>
      </w:pPr>
    </w:p>
    <w:p w14:paraId="03EC8BF3" w14:textId="5215A12B" w:rsidR="00946C2F" w:rsidRDefault="00000000">
      <w:pPr>
        <w:autoSpaceDE w:val="0"/>
        <w:autoSpaceDN w:val="0"/>
        <w:spacing w:line="360" w:lineRule="auto"/>
        <w:jc w:val="center"/>
        <w:rPr>
          <w:rFonts w:ascii="Times New Roman" w:hAnsi="Times New Roman" w:hint="eastAsia"/>
          <w:spacing w:val="20"/>
          <w:sz w:val="24"/>
          <w:szCs w:val="24"/>
        </w:rPr>
      </w:pPr>
      <w:r>
        <w:rPr>
          <w:rFonts w:hint="eastAsia"/>
          <w:sz w:val="24"/>
          <w:szCs w:val="24"/>
        </w:rPr>
        <w:lastRenderedPageBreak/>
        <w:t>图</w:t>
      </w:r>
      <w:r>
        <w:rPr>
          <w:rFonts w:hint="eastAsia"/>
          <w:sz w:val="24"/>
          <w:szCs w:val="24"/>
        </w:rPr>
        <w:t>1</w:t>
      </w:r>
      <w:r w:rsidR="009E36B3">
        <w:rPr>
          <w:rFonts w:hint="eastAsia"/>
          <w:sz w:val="24"/>
          <w:szCs w:val="24"/>
        </w:rPr>
        <w:t>为摘要附图</w:t>
      </w:r>
    </w:p>
    <w:p w14:paraId="24C1A18D" w14:textId="77777777" w:rsidR="00946C2F" w:rsidRDefault="00946C2F">
      <w:pPr>
        <w:autoSpaceDE w:val="0"/>
        <w:autoSpaceDN w:val="0"/>
        <w:spacing w:line="360" w:lineRule="auto"/>
        <w:rPr>
          <w:rFonts w:ascii="Times New Roman" w:hAnsi="Times New Roman"/>
          <w:spacing w:val="20"/>
          <w:sz w:val="24"/>
          <w:szCs w:val="24"/>
        </w:rPr>
        <w:sectPr w:rsidR="00946C2F">
          <w:headerReference w:type="default" r:id="rId10"/>
          <w:pgSz w:w="11906" w:h="16838"/>
          <w:pgMar w:top="1588" w:right="1134" w:bottom="1134" w:left="1588" w:header="1134" w:footer="851" w:gutter="0"/>
          <w:pgNumType w:start="1"/>
          <w:cols w:space="425"/>
          <w:vAlign w:val="center"/>
          <w:docGrid w:type="lines" w:linePitch="312"/>
        </w:sectPr>
      </w:pPr>
    </w:p>
    <w:p w14:paraId="335F6182" w14:textId="77777777" w:rsidR="00946C2F" w:rsidRDefault="00000000">
      <w:pPr>
        <w:widowControl/>
        <w:spacing w:line="360" w:lineRule="auto"/>
        <w:ind w:firstLineChars="200" w:firstLine="480"/>
        <w:jc w:val="left"/>
        <w:rPr>
          <w:rFonts w:ascii="Times New Roman" w:hAnsi="Times New Roman"/>
          <w:kern w:val="28"/>
          <w:sz w:val="24"/>
          <w:szCs w:val="24"/>
        </w:rPr>
      </w:pPr>
      <w:r>
        <w:rPr>
          <w:rFonts w:ascii="宋体" w:hAnsi="宋体"/>
          <w:sz w:val="24"/>
          <w:szCs w:val="24"/>
        </w:rPr>
        <w:t>1</w:t>
      </w:r>
      <w:r>
        <w:rPr>
          <w:rFonts w:ascii="宋体" w:hAnsi="宋体" w:hint="eastAsia"/>
          <w:sz w:val="24"/>
          <w:szCs w:val="24"/>
        </w:rPr>
        <w:t>.</w:t>
      </w:r>
      <w:r>
        <w:rPr>
          <w:rFonts w:ascii="Times New Roman" w:hAnsi="Times New Roman" w:hint="eastAsia"/>
          <w:kern w:val="28"/>
          <w:sz w:val="24"/>
          <w:szCs w:val="24"/>
        </w:rPr>
        <w:t>一种水包油包水型复合乳液，其特征在于，所述复合乳液具有</w:t>
      </w:r>
      <w:r>
        <w:rPr>
          <w:rFonts w:ascii="Times New Roman" w:hAnsi="Times New Roman" w:hint="eastAsia"/>
          <w:kern w:val="28"/>
          <w:sz w:val="24"/>
          <w:szCs w:val="24"/>
        </w:rPr>
        <w:t>W</w:t>
      </w:r>
      <w:r>
        <w:rPr>
          <w:rFonts w:ascii="Times New Roman" w:hAnsi="Times New Roman" w:hint="eastAsia"/>
          <w:kern w:val="28"/>
          <w:sz w:val="24"/>
          <w:szCs w:val="24"/>
          <w:vertAlign w:val="subscript"/>
        </w:rPr>
        <w:t>1</w:t>
      </w:r>
      <w:r>
        <w:rPr>
          <w:rFonts w:ascii="Times New Roman" w:hAnsi="Times New Roman" w:hint="eastAsia"/>
          <w:kern w:val="28"/>
          <w:sz w:val="24"/>
          <w:szCs w:val="24"/>
        </w:rPr>
        <w:t>/O/W</w:t>
      </w:r>
      <w:r>
        <w:rPr>
          <w:rFonts w:ascii="Times New Roman" w:hAnsi="Times New Roman" w:hint="eastAsia"/>
          <w:kern w:val="28"/>
          <w:sz w:val="24"/>
          <w:szCs w:val="24"/>
          <w:vertAlign w:val="subscript"/>
        </w:rPr>
        <w:t>2</w:t>
      </w:r>
      <w:r>
        <w:rPr>
          <w:rFonts w:ascii="Times New Roman" w:hAnsi="Times New Roman" w:hint="eastAsia"/>
          <w:kern w:val="28"/>
          <w:sz w:val="24"/>
          <w:szCs w:val="24"/>
        </w:rPr>
        <w:t>双重乳液结构，所述</w:t>
      </w:r>
      <w:r>
        <w:rPr>
          <w:rFonts w:ascii="Times New Roman" w:hAnsi="Times New Roman" w:hint="eastAsia"/>
          <w:kern w:val="28"/>
          <w:sz w:val="24"/>
          <w:szCs w:val="24"/>
        </w:rPr>
        <w:t>W</w:t>
      </w:r>
      <w:r>
        <w:rPr>
          <w:rFonts w:ascii="Times New Roman" w:hAnsi="Times New Roman" w:hint="eastAsia"/>
          <w:kern w:val="28"/>
          <w:sz w:val="24"/>
          <w:szCs w:val="24"/>
          <w:vertAlign w:val="subscript"/>
        </w:rPr>
        <w:t>1</w:t>
      </w:r>
      <w:r>
        <w:rPr>
          <w:rFonts w:ascii="Times New Roman" w:hAnsi="Times New Roman"/>
          <w:kern w:val="28"/>
          <w:sz w:val="24"/>
          <w:szCs w:val="24"/>
        </w:rPr>
        <w:t>为内水相</w:t>
      </w:r>
      <w:r>
        <w:rPr>
          <w:rFonts w:ascii="Times New Roman" w:hAnsi="Times New Roman" w:hint="eastAsia"/>
          <w:kern w:val="28"/>
          <w:sz w:val="24"/>
          <w:szCs w:val="24"/>
        </w:rPr>
        <w:t>、</w:t>
      </w:r>
      <w:r>
        <w:rPr>
          <w:rFonts w:ascii="Times New Roman" w:hAnsi="Times New Roman" w:hint="eastAsia"/>
          <w:kern w:val="28"/>
          <w:sz w:val="24"/>
          <w:szCs w:val="24"/>
        </w:rPr>
        <w:t>O</w:t>
      </w:r>
      <w:r>
        <w:rPr>
          <w:rFonts w:ascii="Times New Roman" w:hAnsi="Times New Roman"/>
          <w:kern w:val="28"/>
          <w:sz w:val="24"/>
          <w:szCs w:val="24"/>
        </w:rPr>
        <w:t>为油相</w:t>
      </w:r>
      <w:r>
        <w:rPr>
          <w:rFonts w:ascii="Times New Roman" w:hAnsi="Times New Roman" w:hint="eastAsia"/>
          <w:kern w:val="28"/>
          <w:sz w:val="24"/>
          <w:szCs w:val="24"/>
        </w:rPr>
        <w:t>、</w:t>
      </w:r>
      <w:r>
        <w:rPr>
          <w:rFonts w:ascii="Times New Roman" w:hAnsi="Times New Roman" w:hint="eastAsia"/>
          <w:kern w:val="28"/>
          <w:sz w:val="24"/>
          <w:szCs w:val="24"/>
        </w:rPr>
        <w:t>W</w:t>
      </w:r>
      <w:r>
        <w:rPr>
          <w:rFonts w:ascii="Times New Roman" w:hAnsi="Times New Roman" w:hint="eastAsia"/>
          <w:kern w:val="28"/>
          <w:sz w:val="24"/>
          <w:szCs w:val="24"/>
          <w:vertAlign w:val="subscript"/>
        </w:rPr>
        <w:t>2</w:t>
      </w:r>
      <w:r>
        <w:rPr>
          <w:rFonts w:ascii="Times New Roman" w:hAnsi="Times New Roman"/>
          <w:kern w:val="28"/>
          <w:sz w:val="24"/>
          <w:szCs w:val="24"/>
        </w:rPr>
        <w:t>为外水相</w:t>
      </w:r>
      <w:r>
        <w:rPr>
          <w:rFonts w:ascii="Times New Roman" w:hAnsi="Times New Roman" w:hint="eastAsia"/>
          <w:kern w:val="28"/>
          <w:sz w:val="24"/>
          <w:szCs w:val="24"/>
        </w:rPr>
        <w:t>，所述外水相为蛋白质</w:t>
      </w:r>
      <w:r>
        <w:rPr>
          <w:rFonts w:ascii="Times New Roman" w:hAnsi="Times New Roman" w:hint="eastAsia"/>
          <w:kern w:val="28"/>
          <w:sz w:val="24"/>
          <w:szCs w:val="24"/>
        </w:rPr>
        <w:t>-</w:t>
      </w:r>
      <w:r>
        <w:rPr>
          <w:rFonts w:ascii="Times New Roman" w:hAnsi="Times New Roman" w:hint="eastAsia"/>
          <w:kern w:val="28"/>
          <w:sz w:val="24"/>
          <w:szCs w:val="24"/>
        </w:rPr>
        <w:t>多糖复合物，所述内水相由绿原酸水溶液制备而成，所述油相由大豆油和聚甘油蓖麻醇酸</w:t>
      </w:r>
      <w:proofErr w:type="gramStart"/>
      <w:r>
        <w:rPr>
          <w:rFonts w:ascii="Times New Roman" w:hAnsi="Times New Roman" w:hint="eastAsia"/>
          <w:kern w:val="28"/>
          <w:sz w:val="24"/>
          <w:szCs w:val="24"/>
        </w:rPr>
        <w:t>酯</w:t>
      </w:r>
      <w:proofErr w:type="gramEnd"/>
      <w:r>
        <w:rPr>
          <w:rFonts w:ascii="Times New Roman" w:hAnsi="Times New Roman" w:hint="eastAsia"/>
          <w:kern w:val="28"/>
          <w:sz w:val="24"/>
          <w:szCs w:val="24"/>
        </w:rPr>
        <w:t>制备而成。</w:t>
      </w:r>
    </w:p>
    <w:p w14:paraId="6D2C9669"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2.根据权利要求1所述的</w:t>
      </w:r>
      <w:r>
        <w:rPr>
          <w:rFonts w:ascii="Times New Roman" w:hAnsi="Times New Roman" w:hint="eastAsia"/>
          <w:kern w:val="28"/>
          <w:sz w:val="24"/>
          <w:szCs w:val="24"/>
        </w:rPr>
        <w:t>一种水包油包水型复合乳液，其特征在于：所述</w:t>
      </w:r>
      <w:r>
        <w:rPr>
          <w:rFonts w:ascii="宋体" w:hAnsi="宋体" w:hint="eastAsia"/>
          <w:sz w:val="24"/>
          <w:szCs w:val="24"/>
        </w:rPr>
        <w:t>内水相与油相的体积比为1:1</w:t>
      </w:r>
      <w:r>
        <w:rPr>
          <w:rFonts w:ascii="宋体" w:hAnsi="宋体"/>
          <w:sz w:val="24"/>
          <w:szCs w:val="24"/>
        </w:rPr>
        <w:t>～</w:t>
      </w:r>
      <w:r>
        <w:rPr>
          <w:rFonts w:ascii="宋体" w:hAnsi="宋体" w:hint="eastAsia"/>
          <w:sz w:val="24"/>
          <w:szCs w:val="24"/>
        </w:rPr>
        <w:t>1:5；</w:t>
      </w:r>
      <w:r>
        <w:rPr>
          <w:rFonts w:ascii="Times New Roman" w:hAnsi="Times New Roman" w:hint="eastAsia"/>
          <w:kern w:val="28"/>
          <w:sz w:val="24"/>
          <w:szCs w:val="24"/>
        </w:rPr>
        <w:t>所述</w:t>
      </w:r>
      <w:r>
        <w:rPr>
          <w:rFonts w:ascii="Times New Roman" w:hAnsi="Times New Roman"/>
          <w:kern w:val="28"/>
          <w:sz w:val="24"/>
          <w:szCs w:val="24"/>
        </w:rPr>
        <w:t>内水相</w:t>
      </w:r>
      <w:r>
        <w:rPr>
          <w:rFonts w:ascii="Times New Roman" w:hAnsi="Times New Roman" w:hint="eastAsia"/>
          <w:kern w:val="28"/>
          <w:sz w:val="24"/>
          <w:szCs w:val="24"/>
        </w:rPr>
        <w:t>与</w:t>
      </w:r>
      <w:r>
        <w:rPr>
          <w:rFonts w:ascii="Times New Roman" w:hAnsi="Times New Roman"/>
          <w:kern w:val="28"/>
          <w:sz w:val="24"/>
          <w:szCs w:val="24"/>
        </w:rPr>
        <w:t>油相</w:t>
      </w:r>
      <w:r>
        <w:rPr>
          <w:rFonts w:ascii="Times New Roman" w:hAnsi="Times New Roman" w:hint="eastAsia"/>
          <w:kern w:val="28"/>
          <w:sz w:val="24"/>
          <w:szCs w:val="24"/>
        </w:rPr>
        <w:t>体积之和与</w:t>
      </w:r>
      <w:r>
        <w:rPr>
          <w:rFonts w:ascii="Times New Roman" w:hAnsi="Times New Roman"/>
          <w:kern w:val="28"/>
          <w:sz w:val="24"/>
          <w:szCs w:val="24"/>
        </w:rPr>
        <w:t>外水相</w:t>
      </w:r>
      <w:r>
        <w:rPr>
          <w:rFonts w:ascii="Times New Roman" w:hAnsi="Times New Roman" w:hint="eastAsia"/>
          <w:kern w:val="28"/>
          <w:sz w:val="24"/>
          <w:szCs w:val="24"/>
        </w:rPr>
        <w:t>的体积比为</w:t>
      </w:r>
      <w:r>
        <w:rPr>
          <w:rFonts w:ascii="宋体" w:hAnsi="宋体" w:hint="eastAsia"/>
          <w:sz w:val="24"/>
          <w:szCs w:val="24"/>
        </w:rPr>
        <w:t>1:1</w:t>
      </w:r>
      <w:r>
        <w:rPr>
          <w:rFonts w:ascii="宋体" w:hAnsi="宋体"/>
          <w:sz w:val="24"/>
          <w:szCs w:val="24"/>
        </w:rPr>
        <w:t>～</w:t>
      </w:r>
      <w:r>
        <w:rPr>
          <w:rFonts w:ascii="宋体" w:hAnsi="宋体" w:hint="eastAsia"/>
          <w:sz w:val="24"/>
          <w:szCs w:val="24"/>
        </w:rPr>
        <w:t>1:5。</w:t>
      </w:r>
    </w:p>
    <w:p w14:paraId="62932058"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3.根据权利要求1所述的</w:t>
      </w:r>
      <w:r>
        <w:rPr>
          <w:rFonts w:ascii="Times New Roman" w:hAnsi="Times New Roman" w:hint="eastAsia"/>
          <w:kern w:val="28"/>
          <w:sz w:val="24"/>
          <w:szCs w:val="24"/>
        </w:rPr>
        <w:t>一种水包油包水型复合乳液，其特征在于：所述蛋白质</w:t>
      </w:r>
      <w:r>
        <w:rPr>
          <w:rFonts w:ascii="Times New Roman" w:hAnsi="Times New Roman" w:hint="eastAsia"/>
          <w:kern w:val="28"/>
          <w:sz w:val="24"/>
          <w:szCs w:val="24"/>
        </w:rPr>
        <w:t>-</w:t>
      </w:r>
      <w:r>
        <w:rPr>
          <w:rFonts w:ascii="Times New Roman" w:hAnsi="Times New Roman" w:hint="eastAsia"/>
          <w:kern w:val="28"/>
          <w:sz w:val="24"/>
          <w:szCs w:val="24"/>
        </w:rPr>
        <w:t>多糖复合物</w:t>
      </w:r>
      <w:proofErr w:type="gramStart"/>
      <w:r>
        <w:rPr>
          <w:rFonts w:ascii="Times New Roman" w:hAnsi="Times New Roman" w:hint="eastAsia"/>
          <w:kern w:val="28"/>
          <w:sz w:val="24"/>
          <w:szCs w:val="24"/>
        </w:rPr>
        <w:t>由高酯果胶</w:t>
      </w:r>
      <w:proofErr w:type="gramEnd"/>
      <w:r>
        <w:rPr>
          <w:rFonts w:ascii="Times New Roman" w:hAnsi="Times New Roman" w:hint="eastAsia"/>
          <w:kern w:val="28"/>
          <w:sz w:val="24"/>
          <w:szCs w:val="24"/>
        </w:rPr>
        <w:t>和牛乳清蛋白制备而成</w:t>
      </w:r>
      <w:r>
        <w:rPr>
          <w:rFonts w:ascii="宋体" w:hAnsi="宋体" w:hint="eastAsia"/>
          <w:sz w:val="24"/>
          <w:szCs w:val="24"/>
        </w:rPr>
        <w:t>。</w:t>
      </w:r>
    </w:p>
    <w:p w14:paraId="414CC6E1"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4.根据权利要求3所述的</w:t>
      </w:r>
      <w:r>
        <w:rPr>
          <w:rFonts w:ascii="Times New Roman" w:hAnsi="Times New Roman" w:hint="eastAsia"/>
          <w:kern w:val="28"/>
          <w:sz w:val="24"/>
          <w:szCs w:val="24"/>
        </w:rPr>
        <w:t>一种水包油包水型复合乳液，其特征在于：所述</w:t>
      </w:r>
      <w:r>
        <w:rPr>
          <w:rFonts w:ascii="宋体" w:hAnsi="宋体" w:hint="eastAsia"/>
          <w:sz w:val="24"/>
          <w:szCs w:val="24"/>
        </w:rPr>
        <w:t>牛乳清蛋白为浓度为3</w:t>
      </w:r>
      <w:r>
        <w:rPr>
          <w:rFonts w:ascii="宋体" w:hAnsi="宋体"/>
          <w:sz w:val="24"/>
          <w:szCs w:val="24"/>
        </w:rPr>
        <w:t>～</w:t>
      </w:r>
      <w:r>
        <w:rPr>
          <w:rFonts w:ascii="宋体" w:hAnsi="宋体" w:hint="eastAsia"/>
          <w:sz w:val="24"/>
          <w:szCs w:val="24"/>
        </w:rPr>
        <w:t>6%（w/w）的牛乳清蛋白粉溶液，</w:t>
      </w:r>
      <w:proofErr w:type="gramStart"/>
      <w:r>
        <w:rPr>
          <w:rFonts w:ascii="宋体" w:hAnsi="宋体" w:hint="eastAsia"/>
          <w:sz w:val="24"/>
          <w:szCs w:val="24"/>
        </w:rPr>
        <w:t>所述</w:t>
      </w:r>
      <w:r>
        <w:rPr>
          <w:rFonts w:ascii="Times New Roman" w:hAnsi="Times New Roman" w:hint="eastAsia"/>
          <w:kern w:val="28"/>
          <w:sz w:val="24"/>
          <w:szCs w:val="24"/>
        </w:rPr>
        <w:t>高酯果胶</w:t>
      </w:r>
      <w:proofErr w:type="gramEnd"/>
      <w:r>
        <w:rPr>
          <w:rFonts w:ascii="Times New Roman" w:hAnsi="Times New Roman" w:hint="eastAsia"/>
          <w:kern w:val="28"/>
          <w:sz w:val="24"/>
          <w:szCs w:val="24"/>
        </w:rPr>
        <w:t>为</w:t>
      </w:r>
      <w:r>
        <w:rPr>
          <w:rFonts w:ascii="宋体" w:hAnsi="宋体" w:hint="eastAsia"/>
          <w:sz w:val="24"/>
          <w:szCs w:val="24"/>
        </w:rPr>
        <w:t>浓度为3</w:t>
      </w:r>
      <w:r>
        <w:rPr>
          <w:rFonts w:ascii="宋体" w:hAnsi="宋体"/>
          <w:sz w:val="24"/>
          <w:szCs w:val="24"/>
        </w:rPr>
        <w:t>～</w:t>
      </w:r>
      <w:r>
        <w:rPr>
          <w:rFonts w:ascii="宋体" w:hAnsi="宋体" w:hint="eastAsia"/>
          <w:sz w:val="24"/>
          <w:szCs w:val="24"/>
        </w:rPr>
        <w:t>6%（w/w）</w:t>
      </w:r>
      <w:proofErr w:type="gramStart"/>
      <w:r>
        <w:rPr>
          <w:rFonts w:ascii="宋体" w:hAnsi="宋体" w:hint="eastAsia"/>
          <w:sz w:val="24"/>
          <w:szCs w:val="24"/>
        </w:rPr>
        <w:t>的高酯果胶</w:t>
      </w:r>
      <w:proofErr w:type="gramEnd"/>
      <w:r>
        <w:rPr>
          <w:rFonts w:ascii="宋体" w:hAnsi="宋体" w:hint="eastAsia"/>
          <w:sz w:val="24"/>
          <w:szCs w:val="24"/>
        </w:rPr>
        <w:t>粉溶液；</w:t>
      </w:r>
      <w:r>
        <w:rPr>
          <w:rFonts w:ascii="Times New Roman" w:hAnsi="Times New Roman" w:hint="eastAsia"/>
          <w:kern w:val="28"/>
          <w:sz w:val="24"/>
          <w:szCs w:val="24"/>
        </w:rPr>
        <w:t>所述</w:t>
      </w:r>
      <w:r>
        <w:rPr>
          <w:rFonts w:ascii="宋体" w:hAnsi="宋体" w:hint="eastAsia"/>
          <w:sz w:val="24"/>
          <w:szCs w:val="24"/>
        </w:rPr>
        <w:t>牛乳清蛋白粉溶液</w:t>
      </w:r>
      <w:proofErr w:type="gramStart"/>
      <w:r>
        <w:rPr>
          <w:rFonts w:ascii="宋体" w:hAnsi="宋体" w:hint="eastAsia"/>
          <w:sz w:val="24"/>
          <w:szCs w:val="24"/>
        </w:rPr>
        <w:t>与高酯果胶</w:t>
      </w:r>
      <w:proofErr w:type="gramEnd"/>
      <w:r>
        <w:rPr>
          <w:rFonts w:ascii="宋体" w:hAnsi="宋体" w:hint="eastAsia"/>
          <w:sz w:val="24"/>
          <w:szCs w:val="24"/>
        </w:rPr>
        <w:t>粉溶液的</w:t>
      </w:r>
      <w:r>
        <w:rPr>
          <w:rFonts w:ascii="宋体" w:hAnsi="宋体"/>
          <w:sz w:val="24"/>
          <w:szCs w:val="24"/>
        </w:rPr>
        <w:t>体积比</w:t>
      </w:r>
      <w:r>
        <w:rPr>
          <w:rFonts w:ascii="宋体" w:hAnsi="宋体" w:hint="eastAsia"/>
          <w:sz w:val="24"/>
          <w:szCs w:val="24"/>
        </w:rPr>
        <w:t>为1:10～10:1，优选为1:5～5:1。</w:t>
      </w:r>
    </w:p>
    <w:p w14:paraId="397689B1"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5.根据权利要求1所述的</w:t>
      </w:r>
      <w:r>
        <w:rPr>
          <w:rFonts w:ascii="Times New Roman" w:hAnsi="Times New Roman" w:hint="eastAsia"/>
          <w:kern w:val="28"/>
          <w:sz w:val="24"/>
          <w:szCs w:val="24"/>
        </w:rPr>
        <w:t>一种水包油包水型复合乳液，其特征在于：所述绿原酸水溶液</w:t>
      </w:r>
      <w:r>
        <w:rPr>
          <w:rFonts w:ascii="宋体" w:hAnsi="宋体" w:hint="eastAsia"/>
          <w:sz w:val="24"/>
          <w:szCs w:val="24"/>
        </w:rPr>
        <w:t>的浓度为5</w:t>
      </w:r>
      <w:r>
        <w:rPr>
          <w:rFonts w:ascii="宋体" w:hAnsi="宋体"/>
          <w:sz w:val="24"/>
          <w:szCs w:val="24"/>
        </w:rPr>
        <w:t>～</w:t>
      </w:r>
      <w:r>
        <w:rPr>
          <w:rFonts w:ascii="宋体" w:hAnsi="宋体" w:hint="eastAsia"/>
          <w:sz w:val="24"/>
          <w:szCs w:val="24"/>
        </w:rPr>
        <w:t>100 mg/mL。</w:t>
      </w:r>
    </w:p>
    <w:p w14:paraId="138D30FB"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6.根据权利要求1所述的</w:t>
      </w:r>
      <w:r>
        <w:rPr>
          <w:rFonts w:ascii="Times New Roman" w:hAnsi="Times New Roman" w:hint="eastAsia"/>
          <w:kern w:val="28"/>
          <w:sz w:val="24"/>
          <w:szCs w:val="24"/>
        </w:rPr>
        <w:t>一种水包油包水型复合乳液，其特征在于：所述油相中，</w:t>
      </w:r>
      <w:r>
        <w:rPr>
          <w:rFonts w:ascii="宋体" w:hAnsi="宋体" w:hint="eastAsia"/>
          <w:sz w:val="24"/>
          <w:szCs w:val="24"/>
        </w:rPr>
        <w:t>聚甘油蓖麻醇酸酯的质量分数为8</w:t>
      </w:r>
      <w:r>
        <w:rPr>
          <w:rFonts w:ascii="宋体" w:hAnsi="宋体"/>
          <w:sz w:val="24"/>
          <w:szCs w:val="24"/>
        </w:rPr>
        <w:t>～</w:t>
      </w:r>
      <w:r>
        <w:rPr>
          <w:rFonts w:ascii="宋体" w:hAnsi="宋体" w:hint="eastAsia"/>
          <w:sz w:val="24"/>
          <w:szCs w:val="24"/>
        </w:rPr>
        <w:t>10%</w:t>
      </w:r>
      <w:r>
        <w:rPr>
          <w:rFonts w:ascii="Times New Roman" w:hAnsi="Times New Roman" w:hint="eastAsia"/>
          <w:kern w:val="28"/>
          <w:sz w:val="24"/>
          <w:szCs w:val="24"/>
        </w:rPr>
        <w:t>。</w:t>
      </w:r>
    </w:p>
    <w:p w14:paraId="2A9CD351"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7.权利要求1-6所述的</w:t>
      </w:r>
      <w:r>
        <w:rPr>
          <w:rFonts w:ascii="Times New Roman" w:hAnsi="Times New Roman" w:hint="eastAsia"/>
          <w:kern w:val="28"/>
          <w:sz w:val="24"/>
          <w:szCs w:val="24"/>
        </w:rPr>
        <w:t>水包油包水型复合乳液的制备方法，其特征在于，包括以下步骤：</w:t>
      </w:r>
      <w:r>
        <w:rPr>
          <w:rFonts w:ascii="宋体" w:hAnsi="宋体" w:hint="eastAsia"/>
          <w:sz w:val="24"/>
          <w:szCs w:val="24"/>
        </w:rPr>
        <w:t xml:space="preserve"> </w:t>
      </w:r>
    </w:p>
    <w:p w14:paraId="5D63A4DD"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（1）将牛乳清蛋白粉溶解在50～60</w:t>
      </w:r>
      <w:r>
        <w:rPr>
          <w:rFonts w:ascii="宋体" w:hAnsi="宋体"/>
          <w:sz w:val="24"/>
          <w:szCs w:val="24"/>
        </w:rPr>
        <w:t>℃</w:t>
      </w:r>
      <w:r>
        <w:rPr>
          <w:rFonts w:ascii="宋体" w:hAnsi="宋体" w:hint="eastAsia"/>
          <w:sz w:val="24"/>
          <w:szCs w:val="24"/>
        </w:rPr>
        <w:t>的超纯水中，制备成牛乳清蛋白粉储备液，并在50～60</w:t>
      </w:r>
      <w:r>
        <w:rPr>
          <w:rFonts w:ascii="宋体" w:hAnsi="宋体"/>
          <w:sz w:val="24"/>
          <w:szCs w:val="24"/>
        </w:rPr>
        <w:t>℃</w:t>
      </w:r>
      <w:r>
        <w:rPr>
          <w:rFonts w:ascii="宋体" w:hAnsi="宋体" w:hint="eastAsia"/>
          <w:sz w:val="24"/>
          <w:szCs w:val="24"/>
        </w:rPr>
        <w:t>加热搅拌30</w:t>
      </w:r>
      <w:r>
        <w:rPr>
          <w:rFonts w:ascii="宋体" w:hAnsi="宋体"/>
          <w:sz w:val="24"/>
          <w:szCs w:val="24"/>
        </w:rPr>
        <w:t>～</w:t>
      </w:r>
      <w:r>
        <w:rPr>
          <w:rFonts w:ascii="宋体" w:hAnsi="宋体" w:hint="eastAsia"/>
          <w:sz w:val="24"/>
          <w:szCs w:val="24"/>
        </w:rPr>
        <w:t>60min，备用；</w:t>
      </w:r>
    </w:p>
    <w:p w14:paraId="52B89557"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（2）</w:t>
      </w:r>
      <w:proofErr w:type="gramStart"/>
      <w:r>
        <w:rPr>
          <w:rFonts w:ascii="宋体" w:hAnsi="宋体" w:hint="eastAsia"/>
          <w:sz w:val="24"/>
          <w:szCs w:val="24"/>
        </w:rPr>
        <w:t>将高酯果胶</w:t>
      </w:r>
      <w:proofErr w:type="gramEnd"/>
      <w:r>
        <w:rPr>
          <w:rFonts w:ascii="宋体" w:hAnsi="宋体" w:hint="eastAsia"/>
          <w:sz w:val="24"/>
          <w:szCs w:val="24"/>
        </w:rPr>
        <w:t>粉溶解在 50</w:t>
      </w:r>
      <w:r>
        <w:rPr>
          <w:rFonts w:ascii="宋体" w:hAnsi="宋体"/>
          <w:sz w:val="24"/>
          <w:szCs w:val="24"/>
        </w:rPr>
        <w:t>～</w:t>
      </w:r>
      <w:r>
        <w:rPr>
          <w:rFonts w:ascii="宋体" w:hAnsi="宋体" w:hint="eastAsia"/>
          <w:sz w:val="24"/>
          <w:szCs w:val="24"/>
        </w:rPr>
        <w:t>60</w:t>
      </w:r>
      <w:r>
        <w:rPr>
          <w:rFonts w:ascii="宋体" w:hAnsi="宋体"/>
          <w:sz w:val="24"/>
          <w:szCs w:val="24"/>
        </w:rPr>
        <w:t>℃</w:t>
      </w:r>
      <w:r>
        <w:rPr>
          <w:rFonts w:ascii="宋体" w:hAnsi="宋体" w:hint="eastAsia"/>
          <w:sz w:val="24"/>
          <w:szCs w:val="24"/>
        </w:rPr>
        <w:t>的超纯水，制备</w:t>
      </w:r>
      <w:proofErr w:type="gramStart"/>
      <w:r>
        <w:rPr>
          <w:rFonts w:ascii="宋体" w:hAnsi="宋体" w:hint="eastAsia"/>
          <w:sz w:val="24"/>
          <w:szCs w:val="24"/>
        </w:rPr>
        <w:t>成高酯果胶</w:t>
      </w:r>
      <w:proofErr w:type="gramEnd"/>
      <w:r>
        <w:rPr>
          <w:rFonts w:ascii="宋体" w:hAnsi="宋体" w:hint="eastAsia"/>
          <w:sz w:val="24"/>
          <w:szCs w:val="24"/>
        </w:rPr>
        <w:t>粉储备液，并在50</w:t>
      </w:r>
      <w:r>
        <w:rPr>
          <w:rFonts w:ascii="宋体" w:hAnsi="宋体"/>
          <w:sz w:val="24"/>
          <w:szCs w:val="24"/>
        </w:rPr>
        <w:t>～</w:t>
      </w:r>
      <w:r>
        <w:rPr>
          <w:rFonts w:ascii="宋体" w:hAnsi="宋体" w:hint="eastAsia"/>
          <w:sz w:val="24"/>
          <w:szCs w:val="24"/>
        </w:rPr>
        <w:t>60</w:t>
      </w:r>
      <w:r>
        <w:rPr>
          <w:rFonts w:ascii="宋体" w:hAnsi="宋体"/>
          <w:sz w:val="24"/>
          <w:szCs w:val="24"/>
        </w:rPr>
        <w:t>℃</w:t>
      </w:r>
      <w:r>
        <w:rPr>
          <w:rFonts w:ascii="宋体" w:hAnsi="宋体" w:hint="eastAsia"/>
          <w:sz w:val="24"/>
          <w:szCs w:val="24"/>
        </w:rPr>
        <w:t>加热搅拌2</w:t>
      </w:r>
      <w:r>
        <w:rPr>
          <w:rFonts w:ascii="宋体" w:hAnsi="宋体"/>
          <w:sz w:val="24"/>
          <w:szCs w:val="24"/>
        </w:rPr>
        <w:t>～</w:t>
      </w:r>
      <w:r>
        <w:rPr>
          <w:rFonts w:ascii="宋体" w:hAnsi="宋体" w:hint="eastAsia"/>
          <w:sz w:val="24"/>
          <w:szCs w:val="24"/>
        </w:rPr>
        <w:t>4 h，</w:t>
      </w:r>
      <w:proofErr w:type="gramStart"/>
      <w:r>
        <w:rPr>
          <w:rFonts w:ascii="宋体" w:hAnsi="宋体" w:hint="eastAsia"/>
          <w:sz w:val="24"/>
          <w:szCs w:val="24"/>
        </w:rPr>
        <w:t>使高酯果胶</w:t>
      </w:r>
      <w:proofErr w:type="gramEnd"/>
      <w:r>
        <w:rPr>
          <w:rFonts w:ascii="宋体" w:hAnsi="宋体" w:hint="eastAsia"/>
          <w:sz w:val="24"/>
          <w:szCs w:val="24"/>
        </w:rPr>
        <w:t>粉充分溶解，备用；</w:t>
      </w:r>
    </w:p>
    <w:p w14:paraId="0E460965"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（3）</w:t>
      </w:r>
      <w:r>
        <w:rPr>
          <w:rFonts w:ascii="宋体" w:hAnsi="宋体"/>
          <w:sz w:val="24"/>
          <w:szCs w:val="24"/>
        </w:rPr>
        <w:t>将</w:t>
      </w:r>
      <w:r>
        <w:rPr>
          <w:rFonts w:ascii="宋体" w:hAnsi="宋体" w:hint="eastAsia"/>
          <w:sz w:val="24"/>
          <w:szCs w:val="24"/>
        </w:rPr>
        <w:t>牛乳清蛋白粉储备液</w:t>
      </w:r>
      <w:proofErr w:type="gramStart"/>
      <w:r>
        <w:rPr>
          <w:rFonts w:ascii="宋体" w:hAnsi="宋体" w:hint="eastAsia"/>
          <w:sz w:val="24"/>
          <w:szCs w:val="24"/>
        </w:rPr>
        <w:t>和高酯果胶</w:t>
      </w:r>
      <w:proofErr w:type="gramEnd"/>
      <w:r>
        <w:rPr>
          <w:rFonts w:ascii="宋体" w:hAnsi="宋体" w:hint="eastAsia"/>
          <w:sz w:val="24"/>
          <w:szCs w:val="24"/>
        </w:rPr>
        <w:t>粉储备液</w:t>
      </w:r>
      <w:r>
        <w:rPr>
          <w:rFonts w:ascii="宋体" w:hAnsi="宋体"/>
          <w:sz w:val="24"/>
          <w:szCs w:val="24"/>
        </w:rPr>
        <w:t>混合，在50～</w:t>
      </w:r>
      <w:r>
        <w:rPr>
          <w:rFonts w:ascii="宋体" w:hAnsi="宋体" w:hint="eastAsia"/>
          <w:sz w:val="24"/>
          <w:szCs w:val="24"/>
        </w:rPr>
        <w:t>60</w:t>
      </w:r>
      <w:r>
        <w:rPr>
          <w:rFonts w:ascii="宋体" w:hAnsi="宋体"/>
          <w:sz w:val="24"/>
          <w:szCs w:val="24"/>
        </w:rPr>
        <w:t>℃加热并搅拌3～</w:t>
      </w:r>
      <w:r>
        <w:rPr>
          <w:rFonts w:ascii="宋体" w:hAnsi="宋体" w:hint="eastAsia"/>
          <w:sz w:val="24"/>
          <w:szCs w:val="24"/>
        </w:rPr>
        <w:t>6</w:t>
      </w:r>
      <w:r>
        <w:rPr>
          <w:rFonts w:ascii="宋体" w:hAnsi="宋体"/>
          <w:sz w:val="24"/>
          <w:szCs w:val="24"/>
        </w:rPr>
        <w:t>h，制成</w:t>
      </w:r>
      <w:r>
        <w:rPr>
          <w:rFonts w:ascii="Times New Roman" w:hAnsi="Times New Roman" w:hint="eastAsia"/>
          <w:kern w:val="28"/>
          <w:sz w:val="24"/>
          <w:szCs w:val="24"/>
        </w:rPr>
        <w:t>蛋白质</w:t>
      </w:r>
      <w:r>
        <w:rPr>
          <w:rFonts w:ascii="Times New Roman" w:hAnsi="Times New Roman" w:hint="eastAsia"/>
          <w:kern w:val="28"/>
          <w:sz w:val="24"/>
          <w:szCs w:val="24"/>
        </w:rPr>
        <w:t>-</w:t>
      </w:r>
      <w:r>
        <w:rPr>
          <w:rFonts w:ascii="Times New Roman" w:hAnsi="Times New Roman" w:hint="eastAsia"/>
          <w:kern w:val="28"/>
          <w:sz w:val="24"/>
          <w:szCs w:val="24"/>
        </w:rPr>
        <w:t>多糖</w:t>
      </w:r>
      <w:r>
        <w:rPr>
          <w:rFonts w:ascii="宋体" w:hAnsi="宋体"/>
          <w:sz w:val="24"/>
          <w:szCs w:val="24"/>
        </w:rPr>
        <w:t>复合物，</w:t>
      </w:r>
      <w:r>
        <w:rPr>
          <w:rFonts w:ascii="宋体" w:hAnsi="宋体" w:hint="eastAsia"/>
          <w:sz w:val="24"/>
          <w:szCs w:val="24"/>
        </w:rPr>
        <w:t>调整pH为4</w:t>
      </w:r>
      <w:r>
        <w:rPr>
          <w:rFonts w:ascii="宋体" w:hAnsi="宋体"/>
          <w:sz w:val="24"/>
          <w:szCs w:val="24"/>
        </w:rPr>
        <w:t>～</w:t>
      </w:r>
      <w:r>
        <w:rPr>
          <w:rFonts w:ascii="宋体" w:hAnsi="宋体" w:hint="eastAsia"/>
          <w:sz w:val="24"/>
          <w:szCs w:val="24"/>
        </w:rPr>
        <w:t>6，</w:t>
      </w:r>
      <w:r>
        <w:rPr>
          <w:rFonts w:ascii="宋体" w:hAnsi="宋体"/>
          <w:sz w:val="24"/>
          <w:szCs w:val="24"/>
        </w:rPr>
        <w:t>过夜使复合物充分水化</w:t>
      </w:r>
      <w:r>
        <w:rPr>
          <w:rFonts w:ascii="宋体" w:hAnsi="宋体" w:hint="eastAsia"/>
          <w:sz w:val="24"/>
          <w:szCs w:val="24"/>
        </w:rPr>
        <w:t>；</w:t>
      </w:r>
    </w:p>
    <w:p w14:paraId="2FE3128D"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（4）将纯度</w:t>
      </w:r>
      <w:r>
        <w:rPr>
          <w:rFonts w:ascii="宋体" w:hAnsi="宋体"/>
          <w:sz w:val="24"/>
          <w:szCs w:val="24"/>
          <w:lang w:val="en"/>
        </w:rPr>
        <w:t>≥</w:t>
      </w:r>
      <w:r>
        <w:rPr>
          <w:rFonts w:ascii="宋体" w:hAnsi="宋体" w:hint="eastAsia"/>
          <w:sz w:val="24"/>
          <w:szCs w:val="24"/>
        </w:rPr>
        <w:t>99%的绿原酸溶于超纯水，使其浓度为5</w:t>
      </w:r>
      <w:r>
        <w:rPr>
          <w:rFonts w:ascii="宋体" w:hAnsi="宋体"/>
          <w:sz w:val="24"/>
          <w:szCs w:val="24"/>
        </w:rPr>
        <w:t>～</w:t>
      </w:r>
      <w:r>
        <w:rPr>
          <w:rFonts w:ascii="宋体" w:hAnsi="宋体" w:hint="eastAsia"/>
          <w:sz w:val="24"/>
          <w:szCs w:val="24"/>
        </w:rPr>
        <w:t>100 mg/mL，在50</w:t>
      </w:r>
      <w:r>
        <w:rPr>
          <w:rFonts w:ascii="宋体" w:hAnsi="宋体"/>
          <w:sz w:val="24"/>
          <w:szCs w:val="24"/>
        </w:rPr>
        <w:t>～</w:t>
      </w:r>
      <w:r>
        <w:rPr>
          <w:rFonts w:ascii="宋体" w:hAnsi="宋体" w:hint="eastAsia"/>
          <w:sz w:val="24"/>
          <w:szCs w:val="24"/>
        </w:rPr>
        <w:t>50</w:t>
      </w:r>
      <w:r>
        <w:rPr>
          <w:rFonts w:ascii="宋体" w:hAnsi="宋体"/>
          <w:sz w:val="24"/>
          <w:szCs w:val="24"/>
        </w:rPr>
        <w:t>℃</w:t>
      </w:r>
      <w:r>
        <w:rPr>
          <w:rFonts w:ascii="宋体" w:hAnsi="宋体" w:hint="eastAsia"/>
          <w:sz w:val="24"/>
          <w:szCs w:val="24"/>
        </w:rPr>
        <w:t>避光加热搅拌均匀，得到</w:t>
      </w:r>
      <w:r>
        <w:rPr>
          <w:rFonts w:ascii="Times New Roman" w:hAnsi="Times New Roman" w:hint="eastAsia"/>
          <w:kern w:val="28"/>
          <w:sz w:val="24"/>
          <w:szCs w:val="24"/>
        </w:rPr>
        <w:t>绿原酸水溶液，</w:t>
      </w:r>
      <w:r>
        <w:rPr>
          <w:rFonts w:ascii="宋体" w:hAnsi="宋体" w:hint="eastAsia"/>
          <w:sz w:val="24"/>
          <w:szCs w:val="24"/>
        </w:rPr>
        <w:t>备用；</w:t>
      </w:r>
    </w:p>
    <w:p w14:paraId="354B812B"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（5）将聚甘油蓖麻醇酸</w:t>
      </w:r>
      <w:proofErr w:type="gramStart"/>
      <w:r>
        <w:rPr>
          <w:rFonts w:ascii="宋体" w:hAnsi="宋体" w:hint="eastAsia"/>
          <w:sz w:val="24"/>
          <w:szCs w:val="24"/>
        </w:rPr>
        <w:t>酯</w:t>
      </w:r>
      <w:proofErr w:type="gramEnd"/>
      <w:r>
        <w:rPr>
          <w:rFonts w:ascii="宋体" w:hAnsi="宋体" w:hint="eastAsia"/>
          <w:sz w:val="24"/>
          <w:szCs w:val="24"/>
        </w:rPr>
        <w:t>加入到食用大豆油中，在50</w:t>
      </w:r>
      <w:r>
        <w:rPr>
          <w:rFonts w:ascii="宋体" w:hAnsi="宋体"/>
          <w:sz w:val="24"/>
          <w:szCs w:val="24"/>
        </w:rPr>
        <w:t>～</w:t>
      </w:r>
      <w:r>
        <w:rPr>
          <w:rFonts w:ascii="宋体" w:hAnsi="宋体" w:hint="eastAsia"/>
          <w:sz w:val="24"/>
          <w:szCs w:val="24"/>
        </w:rPr>
        <w:t>60</w:t>
      </w:r>
      <w:r>
        <w:rPr>
          <w:rFonts w:ascii="宋体" w:hAnsi="宋体"/>
          <w:sz w:val="24"/>
          <w:szCs w:val="24"/>
        </w:rPr>
        <w:t>℃</w:t>
      </w:r>
      <w:r>
        <w:rPr>
          <w:rFonts w:ascii="宋体" w:hAnsi="宋体" w:hint="eastAsia"/>
          <w:sz w:val="24"/>
          <w:szCs w:val="24"/>
        </w:rPr>
        <w:t>加热搅拌均匀，备用；</w:t>
      </w:r>
    </w:p>
    <w:p w14:paraId="2CA70F36"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（6）将步骤（4）制备的内水相滴加到步骤（5）制备的油相中，加热搅拌10</w:t>
      </w:r>
      <w:r>
        <w:rPr>
          <w:rFonts w:ascii="宋体" w:hAnsi="宋体"/>
          <w:sz w:val="24"/>
          <w:szCs w:val="24"/>
        </w:rPr>
        <w:t>～</w:t>
      </w:r>
      <w:r>
        <w:rPr>
          <w:rFonts w:ascii="宋体" w:hAnsi="宋体" w:hint="eastAsia"/>
          <w:sz w:val="24"/>
          <w:szCs w:val="24"/>
        </w:rPr>
        <w:t>30min，得到的乳浊液超声处理3</w:t>
      </w:r>
      <w:r>
        <w:rPr>
          <w:rFonts w:ascii="宋体" w:hAnsi="宋体"/>
          <w:sz w:val="24"/>
          <w:szCs w:val="24"/>
        </w:rPr>
        <w:t>～</w:t>
      </w:r>
      <w:r>
        <w:rPr>
          <w:rFonts w:ascii="宋体" w:hAnsi="宋体" w:hint="eastAsia"/>
          <w:sz w:val="24"/>
          <w:szCs w:val="24"/>
        </w:rPr>
        <w:t>5 min，随后放置30</w:t>
      </w:r>
      <w:r>
        <w:rPr>
          <w:rFonts w:ascii="宋体" w:hAnsi="宋体"/>
          <w:sz w:val="24"/>
          <w:szCs w:val="24"/>
        </w:rPr>
        <w:t>～</w:t>
      </w:r>
      <w:r>
        <w:rPr>
          <w:rFonts w:ascii="宋体" w:hAnsi="宋体" w:hint="eastAsia"/>
          <w:sz w:val="24"/>
          <w:szCs w:val="24"/>
        </w:rPr>
        <w:t>60min，得到基础的油包水乳液；</w:t>
      </w:r>
    </w:p>
    <w:p w14:paraId="1FFF5420"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（7）水包油包水乳液的配置：将步骤（6）制备的油包水溶液加入到步骤（3）制备的外水相中，加热搅拌10</w:t>
      </w:r>
      <w:r>
        <w:rPr>
          <w:rFonts w:ascii="宋体" w:hAnsi="宋体"/>
          <w:sz w:val="24"/>
          <w:szCs w:val="24"/>
        </w:rPr>
        <w:t>～</w:t>
      </w:r>
      <w:r>
        <w:rPr>
          <w:rFonts w:ascii="宋体" w:hAnsi="宋体" w:hint="eastAsia"/>
          <w:sz w:val="24"/>
          <w:szCs w:val="24"/>
        </w:rPr>
        <w:t>30min，将得到的乳液超声处理3</w:t>
      </w:r>
      <w:r>
        <w:rPr>
          <w:rFonts w:ascii="宋体" w:hAnsi="宋体"/>
          <w:sz w:val="24"/>
          <w:szCs w:val="24"/>
        </w:rPr>
        <w:t>～</w:t>
      </w:r>
      <w:r>
        <w:rPr>
          <w:rFonts w:ascii="宋体" w:hAnsi="宋体" w:hint="eastAsia"/>
          <w:sz w:val="24"/>
          <w:szCs w:val="24"/>
        </w:rPr>
        <w:t>6min，得到水包油包水乳液。</w:t>
      </w:r>
    </w:p>
    <w:p w14:paraId="214B0A5F" w14:textId="77777777" w:rsidR="00946C2F" w:rsidRDefault="00000000">
      <w:pPr>
        <w:widowControl/>
        <w:spacing w:line="360" w:lineRule="auto"/>
        <w:ind w:firstLineChars="200" w:firstLine="480"/>
        <w:jc w:val="left"/>
        <w:rPr>
          <w:rFonts w:ascii="Times New Roman" w:hAnsi="Times New Roman"/>
          <w:color w:val="000000"/>
          <w:sz w:val="24"/>
          <w:szCs w:val="24"/>
        </w:rPr>
      </w:pPr>
      <w:r>
        <w:rPr>
          <w:rFonts w:ascii="宋体" w:hAnsi="宋体" w:hint="eastAsia"/>
          <w:sz w:val="24"/>
          <w:szCs w:val="24"/>
        </w:rPr>
        <w:t>8.根据权利要求7所述的</w:t>
      </w:r>
      <w:r>
        <w:rPr>
          <w:rFonts w:ascii="Times New Roman" w:hAnsi="Times New Roman" w:hint="eastAsia"/>
          <w:kern w:val="28"/>
          <w:sz w:val="24"/>
          <w:szCs w:val="24"/>
        </w:rPr>
        <w:t>水包油包水型复合乳液的制备方法，其特征在于：步骤（</w:t>
      </w:r>
      <w:r>
        <w:rPr>
          <w:rFonts w:ascii="Times New Roman" w:hAnsi="Times New Roman" w:hint="eastAsia"/>
          <w:kern w:val="28"/>
          <w:sz w:val="24"/>
          <w:szCs w:val="24"/>
        </w:rPr>
        <w:t>7</w:t>
      </w:r>
      <w:r>
        <w:rPr>
          <w:rFonts w:ascii="Times New Roman" w:hAnsi="Times New Roman" w:hint="eastAsia"/>
          <w:kern w:val="28"/>
          <w:sz w:val="24"/>
          <w:szCs w:val="24"/>
        </w:rPr>
        <w:t>）、（</w:t>
      </w:r>
      <w:r>
        <w:rPr>
          <w:rFonts w:ascii="Times New Roman" w:hAnsi="Times New Roman" w:hint="eastAsia"/>
          <w:kern w:val="28"/>
          <w:sz w:val="24"/>
          <w:szCs w:val="24"/>
        </w:rPr>
        <w:t>8</w:t>
      </w:r>
      <w:r>
        <w:rPr>
          <w:rFonts w:ascii="Times New Roman" w:hAnsi="Times New Roman" w:hint="eastAsia"/>
          <w:kern w:val="28"/>
          <w:sz w:val="24"/>
          <w:szCs w:val="24"/>
        </w:rPr>
        <w:t>）</w:t>
      </w:r>
      <w:r>
        <w:rPr>
          <w:rFonts w:ascii="宋体" w:hAnsi="宋体" w:hint="eastAsia"/>
          <w:sz w:val="24"/>
          <w:szCs w:val="24"/>
        </w:rPr>
        <w:t>所述超声处理采用超声细胞破碎仪以60</w:t>
      </w:r>
      <w:r>
        <w:rPr>
          <w:rFonts w:ascii="宋体" w:hAnsi="宋体"/>
          <w:sz w:val="24"/>
          <w:szCs w:val="24"/>
        </w:rPr>
        <w:t>～</w:t>
      </w:r>
      <w:r>
        <w:rPr>
          <w:rFonts w:ascii="宋体" w:hAnsi="宋体" w:hint="eastAsia"/>
          <w:sz w:val="24"/>
          <w:szCs w:val="24"/>
        </w:rPr>
        <w:t>80 W，25</w:t>
      </w:r>
      <w:r>
        <w:rPr>
          <w:rFonts w:ascii="宋体" w:hAnsi="宋体"/>
          <w:sz w:val="24"/>
          <w:szCs w:val="24"/>
        </w:rPr>
        <w:t>～</w:t>
      </w:r>
      <w:r>
        <w:rPr>
          <w:rFonts w:ascii="宋体" w:hAnsi="宋体" w:hint="eastAsia"/>
          <w:sz w:val="24"/>
          <w:szCs w:val="24"/>
        </w:rPr>
        <w:t>30 kHz，工作1</w:t>
      </w:r>
      <w:r>
        <w:rPr>
          <w:rFonts w:ascii="宋体" w:hAnsi="宋体"/>
          <w:sz w:val="24"/>
          <w:szCs w:val="24"/>
        </w:rPr>
        <w:t>～</w:t>
      </w:r>
      <w:r>
        <w:rPr>
          <w:rFonts w:ascii="宋体" w:hAnsi="宋体" w:hint="eastAsia"/>
          <w:sz w:val="24"/>
          <w:szCs w:val="24"/>
        </w:rPr>
        <w:t>3s间隔1s的模式。</w:t>
      </w:r>
    </w:p>
    <w:p w14:paraId="56D9A192" w14:textId="77777777" w:rsidR="00946C2F" w:rsidRDefault="00000000">
      <w:pPr>
        <w:adjustRightInd w:val="0"/>
        <w:snapToGrid w:val="0"/>
        <w:spacing w:line="360" w:lineRule="auto"/>
        <w:ind w:firstLineChars="200" w:firstLine="480"/>
        <w:rPr>
          <w:rFonts w:ascii="Times New Roman" w:hAnsi="Times New Roman"/>
          <w:color w:val="000000"/>
          <w:sz w:val="24"/>
          <w:szCs w:val="24"/>
        </w:rPr>
      </w:pPr>
      <w:r>
        <w:rPr>
          <w:rFonts w:ascii="Times New Roman" w:hAnsi="Times New Roman" w:hint="eastAsia"/>
          <w:color w:val="000000"/>
          <w:sz w:val="24"/>
          <w:szCs w:val="24"/>
        </w:rPr>
        <w:t>9.</w:t>
      </w:r>
      <w:r>
        <w:rPr>
          <w:rFonts w:ascii="Times New Roman" w:hAnsi="Times New Roman" w:hint="eastAsia"/>
          <w:color w:val="000000"/>
          <w:sz w:val="24"/>
          <w:szCs w:val="24"/>
        </w:rPr>
        <w:t>权利要求</w:t>
      </w:r>
      <w:r>
        <w:rPr>
          <w:rFonts w:ascii="Times New Roman" w:hAnsi="Times New Roman" w:hint="eastAsia"/>
          <w:color w:val="000000"/>
          <w:sz w:val="24"/>
          <w:szCs w:val="24"/>
        </w:rPr>
        <w:t>1-6</w:t>
      </w:r>
      <w:r>
        <w:rPr>
          <w:rFonts w:ascii="Times New Roman" w:hAnsi="Times New Roman" w:hint="eastAsia"/>
          <w:color w:val="000000"/>
          <w:sz w:val="24"/>
          <w:szCs w:val="24"/>
        </w:rPr>
        <w:t>任一项所述的</w:t>
      </w:r>
      <w:r>
        <w:rPr>
          <w:rFonts w:ascii="Times New Roman" w:hAnsi="Times New Roman" w:hint="eastAsia"/>
          <w:kern w:val="28"/>
          <w:sz w:val="24"/>
          <w:szCs w:val="24"/>
        </w:rPr>
        <w:t>复合乳液</w:t>
      </w:r>
      <w:r>
        <w:rPr>
          <w:rFonts w:ascii="Times New Roman" w:hAnsi="Times New Roman" w:hint="eastAsia"/>
          <w:color w:val="000000"/>
          <w:sz w:val="24"/>
          <w:szCs w:val="24"/>
        </w:rPr>
        <w:t>在制备食品或者化妆品中的应用。</w:t>
      </w:r>
    </w:p>
    <w:p w14:paraId="76184DAE" w14:textId="77777777" w:rsidR="00946C2F" w:rsidRDefault="00000000">
      <w:pPr>
        <w:adjustRightInd w:val="0"/>
        <w:snapToGrid w:val="0"/>
        <w:spacing w:line="360" w:lineRule="auto"/>
        <w:ind w:firstLineChars="200" w:firstLine="480"/>
        <w:rPr>
          <w:rStyle w:val="fontstyle01"/>
          <w:rFonts w:ascii="Times New Roman" w:hAnsi="Times New Roman"/>
        </w:rPr>
      </w:pPr>
      <w:r>
        <w:rPr>
          <w:rFonts w:ascii="Times New Roman" w:hAnsi="Times New Roman" w:hint="eastAsia"/>
          <w:color w:val="000000"/>
          <w:sz w:val="24"/>
          <w:szCs w:val="24"/>
        </w:rPr>
        <w:t>10.</w:t>
      </w:r>
      <w:r>
        <w:rPr>
          <w:rFonts w:ascii="Times New Roman" w:hAnsi="Times New Roman" w:hint="eastAsia"/>
          <w:color w:val="000000"/>
          <w:sz w:val="24"/>
          <w:szCs w:val="24"/>
        </w:rPr>
        <w:t>根据权利要求</w:t>
      </w:r>
      <w:r>
        <w:rPr>
          <w:rFonts w:ascii="Times New Roman" w:hAnsi="Times New Roman" w:hint="eastAsia"/>
          <w:color w:val="000000"/>
          <w:sz w:val="24"/>
          <w:szCs w:val="24"/>
        </w:rPr>
        <w:t>9</w:t>
      </w:r>
      <w:r>
        <w:rPr>
          <w:rFonts w:ascii="Times New Roman" w:hAnsi="Times New Roman" w:hint="eastAsia"/>
          <w:color w:val="000000"/>
          <w:sz w:val="24"/>
          <w:szCs w:val="24"/>
        </w:rPr>
        <w:t>所述的应用，其特征在于：所述食品为奶制品和冰淇淋；所述化妆品为保湿乳。</w:t>
      </w:r>
    </w:p>
    <w:p w14:paraId="1D68FEC7" w14:textId="77777777" w:rsidR="00946C2F" w:rsidRDefault="00946C2F">
      <w:pPr>
        <w:autoSpaceDE w:val="0"/>
        <w:autoSpaceDN w:val="0"/>
        <w:spacing w:line="360" w:lineRule="auto"/>
        <w:ind w:firstLineChars="200" w:firstLine="480"/>
        <w:rPr>
          <w:rFonts w:ascii="Times New Roman" w:hAnsi="Times New Roman"/>
          <w:sz w:val="24"/>
          <w:szCs w:val="24"/>
        </w:rPr>
        <w:sectPr w:rsidR="00946C2F">
          <w:headerReference w:type="default" r:id="rId11"/>
          <w:footerReference w:type="default" r:id="rId12"/>
          <w:headerReference w:type="first" r:id="rId13"/>
          <w:footerReference w:type="first" r:id="rId14"/>
          <w:pgSz w:w="11906" w:h="16838"/>
          <w:pgMar w:top="1588" w:right="1134" w:bottom="1134" w:left="1588" w:header="1134" w:footer="851" w:gutter="0"/>
          <w:lnNumType w:countBy="5"/>
          <w:pgNumType w:start="1"/>
          <w:cols w:space="425"/>
          <w:docGrid w:type="lines" w:linePitch="312"/>
        </w:sectPr>
      </w:pPr>
    </w:p>
    <w:p w14:paraId="6002E7CA" w14:textId="77777777" w:rsidR="00946C2F" w:rsidRDefault="00000000">
      <w:pPr>
        <w:widowControl/>
        <w:spacing w:line="360" w:lineRule="auto"/>
        <w:jc w:val="center"/>
        <w:rPr>
          <w:rFonts w:ascii="Times New Roman" w:hAnsi="Times New Roman"/>
          <w:b/>
          <w:color w:val="000000"/>
          <w:sz w:val="24"/>
          <w:szCs w:val="24"/>
        </w:rPr>
      </w:pPr>
      <w:r>
        <w:rPr>
          <w:rFonts w:ascii="Times New Roman" w:hAnsi="Times New Roman" w:hint="eastAsia"/>
          <w:kern w:val="28"/>
          <w:sz w:val="24"/>
          <w:szCs w:val="24"/>
        </w:rPr>
        <w:t>一种水包油包水型复合乳液及其制备方法和应用</w:t>
      </w:r>
    </w:p>
    <w:p w14:paraId="6A8325DE" w14:textId="77777777" w:rsidR="00946C2F" w:rsidRDefault="00000000">
      <w:pPr>
        <w:widowControl/>
        <w:spacing w:line="360" w:lineRule="auto"/>
        <w:jc w:val="left"/>
        <w:rPr>
          <w:rFonts w:ascii="Times New Roman" w:hAnsi="Times New Roman"/>
          <w:b/>
          <w:color w:val="000000"/>
          <w:sz w:val="24"/>
          <w:szCs w:val="24"/>
        </w:rPr>
      </w:pPr>
      <w:r>
        <w:rPr>
          <w:rFonts w:ascii="Times New Roman" w:hAnsi="Times New Roman" w:hint="eastAsia"/>
          <w:b/>
          <w:color w:val="000000"/>
          <w:sz w:val="24"/>
          <w:szCs w:val="24"/>
        </w:rPr>
        <w:t>技术领域</w:t>
      </w:r>
    </w:p>
    <w:p w14:paraId="4450AEA8" w14:textId="77777777" w:rsidR="00946C2F" w:rsidRDefault="00000000">
      <w:pPr>
        <w:spacing w:line="360" w:lineRule="auto"/>
        <w:ind w:firstLineChars="200" w:firstLine="480"/>
        <w:rPr>
          <w:color w:val="060607"/>
          <w:sz w:val="24"/>
          <w:szCs w:val="24"/>
        </w:rPr>
      </w:pPr>
      <w:r>
        <w:rPr>
          <w:rFonts w:hint="eastAsia"/>
          <w:color w:val="060607"/>
          <w:sz w:val="24"/>
          <w:szCs w:val="24"/>
        </w:rPr>
        <w:t>本发明涉及</w:t>
      </w:r>
      <w:r>
        <w:rPr>
          <w:rFonts w:ascii="宋体" w:hAnsi="宋体" w:cs="宋体" w:hint="eastAsia"/>
          <w:color w:val="060607"/>
          <w:kern w:val="0"/>
          <w:sz w:val="24"/>
          <w:szCs w:val="24"/>
        </w:rPr>
        <w:t>多重复合乳液，尤其是涉及一种</w:t>
      </w:r>
      <w:r>
        <w:rPr>
          <w:rFonts w:ascii="Times New Roman" w:hAnsi="Times New Roman" w:hint="eastAsia"/>
          <w:kern w:val="28"/>
          <w:sz w:val="24"/>
          <w:szCs w:val="24"/>
        </w:rPr>
        <w:t>水包油包水型复合乳液及其制备方法和应用</w:t>
      </w:r>
      <w:r>
        <w:rPr>
          <w:rFonts w:ascii="Times New Roman" w:hAnsi="Times New Roman" w:hint="eastAsia"/>
          <w:color w:val="000000"/>
          <w:sz w:val="24"/>
          <w:szCs w:val="24"/>
        </w:rPr>
        <w:t>。</w:t>
      </w:r>
    </w:p>
    <w:p w14:paraId="66494A48" w14:textId="77777777" w:rsidR="00946C2F" w:rsidRDefault="00000000">
      <w:pPr>
        <w:spacing w:line="360" w:lineRule="auto"/>
        <w:jc w:val="left"/>
        <w:rPr>
          <w:rFonts w:ascii="Times New Roman" w:hAnsi="Times New Roman"/>
          <w:b/>
          <w:kern w:val="28"/>
          <w:sz w:val="24"/>
          <w:szCs w:val="24"/>
        </w:rPr>
      </w:pPr>
      <w:r>
        <w:rPr>
          <w:rFonts w:ascii="Times New Roman" w:hAnsi="Times New Roman" w:hint="eastAsia"/>
          <w:b/>
          <w:kern w:val="28"/>
          <w:sz w:val="24"/>
          <w:szCs w:val="24"/>
        </w:rPr>
        <w:t>背景技术</w:t>
      </w:r>
    </w:p>
    <w:p w14:paraId="24B39189" w14:textId="77777777" w:rsidR="00946C2F" w:rsidRDefault="00000000">
      <w:pPr>
        <w:widowControl/>
        <w:spacing w:line="360" w:lineRule="auto"/>
        <w:ind w:firstLineChars="200" w:firstLine="480"/>
        <w:jc w:val="left"/>
        <w:rPr>
          <w:rFonts w:ascii="宋体" w:hAnsi="宋体" w:cs="宋体" w:hint="eastAsia"/>
          <w:color w:val="060607"/>
          <w:kern w:val="0"/>
          <w:sz w:val="24"/>
          <w:szCs w:val="24"/>
        </w:rPr>
      </w:pPr>
      <w:r>
        <w:rPr>
          <w:rFonts w:ascii="宋体" w:hAnsi="宋体" w:cs="宋体" w:hint="eastAsia"/>
          <w:color w:val="060607"/>
          <w:kern w:val="0"/>
          <w:sz w:val="24"/>
          <w:szCs w:val="24"/>
        </w:rPr>
        <w:t>绿原酸是一种不太稳定的极性有机酸，其分子结构中含有邻二</w:t>
      </w:r>
      <w:proofErr w:type="gramStart"/>
      <w:r>
        <w:rPr>
          <w:rFonts w:ascii="宋体" w:hAnsi="宋体" w:cs="宋体" w:hint="eastAsia"/>
          <w:color w:val="060607"/>
          <w:kern w:val="0"/>
          <w:sz w:val="24"/>
          <w:szCs w:val="24"/>
        </w:rPr>
        <w:t>酚</w:t>
      </w:r>
      <w:proofErr w:type="gramEnd"/>
      <w:r>
        <w:rPr>
          <w:rFonts w:ascii="宋体" w:hAnsi="宋体" w:cs="宋体" w:hint="eastAsia"/>
          <w:color w:val="060607"/>
          <w:kern w:val="0"/>
          <w:sz w:val="24"/>
          <w:szCs w:val="24"/>
        </w:rPr>
        <w:t>羟基，稳定性低，易氧化。在碱性环境下，绿原酸可水解氧化为绿色</w:t>
      </w:r>
      <w:proofErr w:type="gramStart"/>
      <w:r>
        <w:rPr>
          <w:rFonts w:ascii="宋体" w:hAnsi="宋体" w:cs="宋体" w:hint="eastAsia"/>
          <w:color w:val="060607"/>
          <w:kern w:val="0"/>
          <w:sz w:val="24"/>
          <w:szCs w:val="24"/>
        </w:rPr>
        <w:t>醌</w:t>
      </w:r>
      <w:proofErr w:type="gramEnd"/>
      <w:r>
        <w:rPr>
          <w:rFonts w:ascii="宋体" w:hAnsi="宋体" w:cs="宋体" w:hint="eastAsia"/>
          <w:color w:val="060607"/>
          <w:kern w:val="0"/>
          <w:sz w:val="24"/>
          <w:szCs w:val="24"/>
        </w:rPr>
        <w:t>类，在生物体中可代谢为奎宁酸、咖啡酸、苯甲酸、阿魏酸和羟基苯甲酸。绿原酸具有广泛的生物活性，近年来对绿原酸生物活性的科学研究已深入到食品、医药领域和日化工业等领域。绿原酸也是一种广泛存在于植物中的多酚，具有广泛的生物活性，包括抗炎、抗氧化、抗菌和免疫调节作用，特别是其显著的抗炎作用。</w:t>
      </w:r>
    </w:p>
    <w:p w14:paraId="17E30565" w14:textId="77777777" w:rsidR="00946C2F" w:rsidRDefault="00000000">
      <w:pPr>
        <w:widowControl/>
        <w:spacing w:line="360" w:lineRule="auto"/>
        <w:ind w:firstLineChars="200" w:firstLine="480"/>
        <w:jc w:val="left"/>
        <w:rPr>
          <w:rFonts w:ascii="宋体" w:hAnsi="宋体" w:cs="宋体" w:hint="eastAsia"/>
          <w:color w:val="060607"/>
          <w:kern w:val="0"/>
          <w:sz w:val="24"/>
          <w:szCs w:val="24"/>
        </w:rPr>
      </w:pPr>
      <w:r>
        <w:rPr>
          <w:rFonts w:ascii="宋体" w:hAnsi="宋体" w:cs="宋体" w:hint="eastAsia"/>
          <w:color w:val="060607"/>
          <w:kern w:val="0"/>
          <w:sz w:val="24"/>
          <w:szCs w:val="24"/>
        </w:rPr>
        <w:t>绿原酸容易受到环境因素的影响而发生降解或失活，其溶解度和稳定性较低，在体内容易被蛋白质灭活，生物利用度和在食品加工领域的应用性较差。</w:t>
      </w:r>
    </w:p>
    <w:p w14:paraId="7B52B83F" w14:textId="77777777" w:rsidR="00946C2F" w:rsidRDefault="00000000">
      <w:pPr>
        <w:widowControl/>
        <w:spacing w:line="360" w:lineRule="auto"/>
        <w:ind w:firstLineChars="200" w:firstLine="480"/>
        <w:jc w:val="left"/>
        <w:rPr>
          <w:rFonts w:ascii="宋体" w:hAnsi="宋体" w:cs="宋体" w:hint="eastAsia"/>
          <w:color w:val="060607"/>
          <w:kern w:val="0"/>
          <w:sz w:val="24"/>
          <w:szCs w:val="24"/>
        </w:rPr>
      </w:pPr>
      <w:r>
        <w:rPr>
          <w:rFonts w:ascii="宋体" w:hAnsi="宋体" w:cs="宋体" w:hint="eastAsia"/>
          <w:color w:val="060607"/>
          <w:kern w:val="0"/>
          <w:sz w:val="24"/>
          <w:szCs w:val="24"/>
        </w:rPr>
        <w:t>为此，公开号为CN104856954A的中国发明专利公开了一种绿原酸微乳及其制备工艺和应用，其是采用单一乳液对绿原酸进行包封，对绿原酸的稳定性有一定提高，但是该技术的包埋率和体内吸收效果仍有待提高，并且其在食品领域应用也有局限性。</w:t>
      </w:r>
    </w:p>
    <w:p w14:paraId="2F7350CF" w14:textId="77777777" w:rsidR="00946C2F" w:rsidRDefault="00000000">
      <w:pPr>
        <w:autoSpaceDE w:val="0"/>
        <w:autoSpaceDN w:val="0"/>
        <w:spacing w:line="360" w:lineRule="auto"/>
        <w:rPr>
          <w:rFonts w:ascii="Times New Roman" w:hAnsi="Times New Roman"/>
          <w:b/>
          <w:sz w:val="24"/>
          <w:szCs w:val="24"/>
        </w:rPr>
      </w:pPr>
      <w:r>
        <w:rPr>
          <w:rFonts w:ascii="Times New Roman" w:hAnsi="Times New Roman" w:hint="eastAsia"/>
          <w:b/>
          <w:sz w:val="24"/>
          <w:szCs w:val="24"/>
        </w:rPr>
        <w:t>发明内容</w:t>
      </w:r>
    </w:p>
    <w:p w14:paraId="75EFDBDB" w14:textId="77777777" w:rsidR="00946C2F" w:rsidRDefault="00000000">
      <w:pPr>
        <w:spacing w:line="360" w:lineRule="auto"/>
        <w:ind w:firstLine="482"/>
        <w:rPr>
          <w:rFonts w:ascii="Times New Roman" w:hAnsi="Times New Roman"/>
          <w:kern w:val="28"/>
          <w:sz w:val="24"/>
          <w:szCs w:val="24"/>
        </w:rPr>
      </w:pPr>
      <w:r>
        <w:rPr>
          <w:rStyle w:val="fontstyle01"/>
        </w:rPr>
        <w:t>本发明的目的是提供</w:t>
      </w:r>
      <w:r>
        <w:rPr>
          <w:rFonts w:ascii="宋体" w:hAnsi="宋体" w:cs="宋体" w:hint="eastAsia"/>
          <w:color w:val="060607"/>
          <w:kern w:val="0"/>
          <w:sz w:val="24"/>
          <w:szCs w:val="24"/>
        </w:rPr>
        <w:t>一种</w:t>
      </w:r>
      <w:r>
        <w:rPr>
          <w:rFonts w:ascii="Times New Roman" w:hAnsi="Times New Roman" w:hint="eastAsia"/>
          <w:kern w:val="28"/>
          <w:sz w:val="24"/>
          <w:szCs w:val="24"/>
        </w:rPr>
        <w:t>水包油包水型复合乳液及其制备方法和应用</w:t>
      </w:r>
      <w:r>
        <w:rPr>
          <w:rFonts w:ascii="Times New Roman" w:hAnsi="Times New Roman" w:hint="eastAsia"/>
          <w:color w:val="000000"/>
          <w:sz w:val="24"/>
          <w:szCs w:val="24"/>
        </w:rPr>
        <w:t>，以</w:t>
      </w:r>
      <w:r>
        <w:rPr>
          <w:rFonts w:ascii="Times New Roman" w:hAnsi="Times New Roman" w:hint="eastAsia"/>
          <w:kern w:val="28"/>
          <w:sz w:val="24"/>
          <w:szCs w:val="24"/>
        </w:rPr>
        <w:t>提高绿原酸的稳定性和抗氧化性。</w:t>
      </w:r>
    </w:p>
    <w:p w14:paraId="0DD2456A" w14:textId="77777777" w:rsidR="00946C2F" w:rsidRDefault="00000000">
      <w:pPr>
        <w:adjustRightInd w:val="0"/>
        <w:snapToGrid w:val="0"/>
        <w:spacing w:line="360" w:lineRule="auto"/>
        <w:ind w:firstLine="482"/>
        <w:rPr>
          <w:rFonts w:ascii="宋体" w:hAnsi="宋体" w:cs="宋体" w:hint="eastAsia"/>
          <w:color w:val="060607"/>
          <w:kern w:val="0"/>
          <w:sz w:val="24"/>
          <w:szCs w:val="24"/>
        </w:rPr>
      </w:pPr>
      <w:r>
        <w:rPr>
          <w:rFonts w:ascii="宋体" w:hAnsi="宋体" w:cs="宋体" w:hint="eastAsia"/>
          <w:color w:val="060607"/>
          <w:kern w:val="0"/>
          <w:sz w:val="24"/>
          <w:szCs w:val="24"/>
        </w:rPr>
        <w:t>为了解决现有技术存在的问题，本发明采用的技术方案是：</w:t>
      </w:r>
    </w:p>
    <w:p w14:paraId="56BDB9DD" w14:textId="77777777" w:rsidR="00946C2F" w:rsidRDefault="00000000">
      <w:pPr>
        <w:widowControl/>
        <w:spacing w:line="360" w:lineRule="auto"/>
        <w:ind w:firstLineChars="200" w:firstLine="480"/>
        <w:jc w:val="left"/>
        <w:rPr>
          <w:rFonts w:ascii="Times New Roman" w:hAnsi="Times New Roman"/>
          <w:kern w:val="28"/>
          <w:sz w:val="24"/>
          <w:szCs w:val="24"/>
        </w:rPr>
      </w:pPr>
      <w:r>
        <w:rPr>
          <w:rFonts w:ascii="宋体" w:hAnsi="宋体" w:hint="eastAsia"/>
          <w:sz w:val="24"/>
          <w:szCs w:val="24"/>
        </w:rPr>
        <w:t>第一个方面，本发明提供</w:t>
      </w:r>
      <w:r>
        <w:rPr>
          <w:rFonts w:ascii="Times New Roman" w:hAnsi="Times New Roman" w:hint="eastAsia"/>
          <w:kern w:val="28"/>
          <w:sz w:val="24"/>
          <w:szCs w:val="24"/>
        </w:rPr>
        <w:t>一种水包油包水型复合乳液，所述复合乳液具有</w:t>
      </w:r>
      <w:r>
        <w:rPr>
          <w:rFonts w:ascii="Times New Roman" w:hAnsi="Times New Roman" w:hint="eastAsia"/>
          <w:kern w:val="28"/>
          <w:sz w:val="24"/>
          <w:szCs w:val="24"/>
        </w:rPr>
        <w:t>W</w:t>
      </w:r>
      <w:r>
        <w:rPr>
          <w:rFonts w:ascii="Times New Roman" w:hAnsi="Times New Roman" w:hint="eastAsia"/>
          <w:kern w:val="28"/>
          <w:sz w:val="24"/>
          <w:szCs w:val="24"/>
          <w:vertAlign w:val="subscript"/>
        </w:rPr>
        <w:t>1</w:t>
      </w:r>
      <w:r>
        <w:rPr>
          <w:rFonts w:ascii="Times New Roman" w:hAnsi="Times New Roman" w:hint="eastAsia"/>
          <w:kern w:val="28"/>
          <w:sz w:val="24"/>
          <w:szCs w:val="24"/>
        </w:rPr>
        <w:t>/O/W</w:t>
      </w:r>
      <w:r>
        <w:rPr>
          <w:rFonts w:ascii="Times New Roman" w:hAnsi="Times New Roman" w:hint="eastAsia"/>
          <w:kern w:val="28"/>
          <w:sz w:val="24"/>
          <w:szCs w:val="24"/>
          <w:vertAlign w:val="subscript"/>
        </w:rPr>
        <w:t>2</w:t>
      </w:r>
      <w:r>
        <w:rPr>
          <w:rFonts w:ascii="Times New Roman" w:hAnsi="Times New Roman" w:hint="eastAsia"/>
          <w:kern w:val="28"/>
          <w:sz w:val="24"/>
          <w:szCs w:val="24"/>
        </w:rPr>
        <w:t>双重乳液结构，所述</w:t>
      </w:r>
      <w:r>
        <w:rPr>
          <w:rFonts w:ascii="Times New Roman" w:hAnsi="Times New Roman" w:hint="eastAsia"/>
          <w:kern w:val="28"/>
          <w:sz w:val="24"/>
          <w:szCs w:val="24"/>
        </w:rPr>
        <w:t>W</w:t>
      </w:r>
      <w:r>
        <w:rPr>
          <w:rFonts w:ascii="Times New Roman" w:hAnsi="Times New Roman" w:hint="eastAsia"/>
          <w:kern w:val="28"/>
          <w:sz w:val="24"/>
          <w:szCs w:val="24"/>
          <w:vertAlign w:val="subscript"/>
        </w:rPr>
        <w:t>1</w:t>
      </w:r>
      <w:r>
        <w:rPr>
          <w:rFonts w:ascii="Times New Roman" w:hAnsi="Times New Roman"/>
          <w:kern w:val="28"/>
          <w:sz w:val="24"/>
          <w:szCs w:val="24"/>
        </w:rPr>
        <w:t>为内水相</w:t>
      </w:r>
      <w:r>
        <w:rPr>
          <w:rFonts w:ascii="Times New Roman" w:hAnsi="Times New Roman" w:hint="eastAsia"/>
          <w:kern w:val="28"/>
          <w:sz w:val="24"/>
          <w:szCs w:val="24"/>
        </w:rPr>
        <w:t>、</w:t>
      </w:r>
      <w:r>
        <w:rPr>
          <w:rFonts w:ascii="Times New Roman" w:hAnsi="Times New Roman" w:hint="eastAsia"/>
          <w:kern w:val="28"/>
          <w:sz w:val="24"/>
          <w:szCs w:val="24"/>
        </w:rPr>
        <w:t>O</w:t>
      </w:r>
      <w:r>
        <w:rPr>
          <w:rFonts w:ascii="Times New Roman" w:hAnsi="Times New Roman"/>
          <w:kern w:val="28"/>
          <w:sz w:val="24"/>
          <w:szCs w:val="24"/>
        </w:rPr>
        <w:t>为油相</w:t>
      </w:r>
      <w:r>
        <w:rPr>
          <w:rFonts w:ascii="Times New Roman" w:hAnsi="Times New Roman" w:hint="eastAsia"/>
          <w:kern w:val="28"/>
          <w:sz w:val="24"/>
          <w:szCs w:val="24"/>
        </w:rPr>
        <w:t>、</w:t>
      </w:r>
      <w:r>
        <w:rPr>
          <w:rFonts w:ascii="Times New Roman" w:hAnsi="Times New Roman" w:hint="eastAsia"/>
          <w:kern w:val="28"/>
          <w:sz w:val="24"/>
          <w:szCs w:val="24"/>
        </w:rPr>
        <w:t>W</w:t>
      </w:r>
      <w:r>
        <w:rPr>
          <w:rFonts w:ascii="Times New Roman" w:hAnsi="Times New Roman" w:hint="eastAsia"/>
          <w:kern w:val="28"/>
          <w:sz w:val="24"/>
          <w:szCs w:val="24"/>
          <w:vertAlign w:val="subscript"/>
        </w:rPr>
        <w:t>2</w:t>
      </w:r>
      <w:r>
        <w:rPr>
          <w:rFonts w:ascii="Times New Roman" w:hAnsi="Times New Roman"/>
          <w:kern w:val="28"/>
          <w:sz w:val="24"/>
          <w:szCs w:val="24"/>
        </w:rPr>
        <w:t>为外水相</w:t>
      </w:r>
      <w:r>
        <w:rPr>
          <w:rFonts w:ascii="Times New Roman" w:hAnsi="Times New Roman" w:hint="eastAsia"/>
          <w:kern w:val="28"/>
          <w:sz w:val="24"/>
          <w:szCs w:val="24"/>
        </w:rPr>
        <w:t>，所述外水相为蛋白质</w:t>
      </w:r>
      <w:r>
        <w:rPr>
          <w:rFonts w:ascii="Times New Roman" w:hAnsi="Times New Roman" w:hint="eastAsia"/>
          <w:kern w:val="28"/>
          <w:sz w:val="24"/>
          <w:szCs w:val="24"/>
        </w:rPr>
        <w:t>-</w:t>
      </w:r>
      <w:r>
        <w:rPr>
          <w:rFonts w:ascii="Times New Roman" w:hAnsi="Times New Roman" w:hint="eastAsia"/>
          <w:kern w:val="28"/>
          <w:sz w:val="24"/>
          <w:szCs w:val="24"/>
        </w:rPr>
        <w:t>多糖复合物，所述内水相由绿原酸水溶液制备而成，所述油相由大豆油和聚甘油蓖麻醇酸</w:t>
      </w:r>
      <w:proofErr w:type="gramStart"/>
      <w:r>
        <w:rPr>
          <w:rFonts w:ascii="Times New Roman" w:hAnsi="Times New Roman" w:hint="eastAsia"/>
          <w:kern w:val="28"/>
          <w:sz w:val="24"/>
          <w:szCs w:val="24"/>
        </w:rPr>
        <w:t>酯</w:t>
      </w:r>
      <w:proofErr w:type="gramEnd"/>
      <w:r>
        <w:rPr>
          <w:rFonts w:ascii="Times New Roman" w:hAnsi="Times New Roman" w:hint="eastAsia"/>
          <w:kern w:val="28"/>
          <w:sz w:val="24"/>
          <w:szCs w:val="24"/>
        </w:rPr>
        <w:t>制备而成。</w:t>
      </w:r>
    </w:p>
    <w:p w14:paraId="479042A1" w14:textId="77777777" w:rsidR="00946C2F" w:rsidRDefault="00000000">
      <w:pPr>
        <w:widowControl/>
        <w:spacing w:line="360" w:lineRule="auto"/>
        <w:ind w:firstLineChars="200" w:firstLine="480"/>
        <w:jc w:val="left"/>
        <w:rPr>
          <w:rFonts w:ascii="宋体" w:hAnsi="宋体" w:hint="eastAsia"/>
          <w:sz w:val="24"/>
          <w:szCs w:val="24"/>
        </w:rPr>
      </w:pPr>
      <w:r>
        <w:rPr>
          <w:rFonts w:ascii="Times New Roman" w:hAnsi="Times New Roman" w:hint="eastAsia"/>
          <w:kern w:val="28"/>
          <w:sz w:val="24"/>
          <w:szCs w:val="24"/>
        </w:rPr>
        <w:t>所述</w:t>
      </w:r>
      <w:r>
        <w:rPr>
          <w:rFonts w:ascii="宋体" w:hAnsi="宋体" w:hint="eastAsia"/>
          <w:sz w:val="24"/>
          <w:szCs w:val="24"/>
        </w:rPr>
        <w:t>内水相与油相的体积比为1:1</w:t>
      </w:r>
      <w:r>
        <w:rPr>
          <w:rFonts w:ascii="宋体" w:hAnsi="宋体"/>
          <w:sz w:val="24"/>
          <w:szCs w:val="24"/>
        </w:rPr>
        <w:t>～</w:t>
      </w:r>
      <w:r>
        <w:rPr>
          <w:rFonts w:ascii="宋体" w:hAnsi="宋体" w:hint="eastAsia"/>
          <w:sz w:val="24"/>
          <w:szCs w:val="24"/>
        </w:rPr>
        <w:t>1：5；</w:t>
      </w:r>
      <w:r>
        <w:rPr>
          <w:rFonts w:ascii="Times New Roman" w:hAnsi="Times New Roman" w:hint="eastAsia"/>
          <w:kern w:val="28"/>
          <w:sz w:val="24"/>
          <w:szCs w:val="24"/>
        </w:rPr>
        <w:t>所述</w:t>
      </w:r>
      <w:r>
        <w:rPr>
          <w:rFonts w:ascii="Times New Roman" w:hAnsi="Times New Roman"/>
          <w:kern w:val="28"/>
          <w:sz w:val="24"/>
          <w:szCs w:val="24"/>
        </w:rPr>
        <w:t>内水相</w:t>
      </w:r>
      <w:r>
        <w:rPr>
          <w:rFonts w:ascii="Times New Roman" w:hAnsi="Times New Roman" w:hint="eastAsia"/>
          <w:kern w:val="28"/>
          <w:sz w:val="24"/>
          <w:szCs w:val="24"/>
        </w:rPr>
        <w:t>与</w:t>
      </w:r>
      <w:r>
        <w:rPr>
          <w:rFonts w:ascii="Times New Roman" w:hAnsi="Times New Roman"/>
          <w:kern w:val="28"/>
          <w:sz w:val="24"/>
          <w:szCs w:val="24"/>
        </w:rPr>
        <w:t>油相</w:t>
      </w:r>
      <w:r>
        <w:rPr>
          <w:rFonts w:ascii="Times New Roman" w:hAnsi="Times New Roman" w:hint="eastAsia"/>
          <w:kern w:val="28"/>
          <w:sz w:val="24"/>
          <w:szCs w:val="24"/>
        </w:rPr>
        <w:t>体积之和与</w:t>
      </w:r>
      <w:r>
        <w:rPr>
          <w:rFonts w:ascii="Times New Roman" w:hAnsi="Times New Roman"/>
          <w:kern w:val="28"/>
          <w:sz w:val="24"/>
          <w:szCs w:val="24"/>
        </w:rPr>
        <w:t>外水相</w:t>
      </w:r>
      <w:r>
        <w:rPr>
          <w:rFonts w:ascii="Times New Roman" w:hAnsi="Times New Roman" w:hint="eastAsia"/>
          <w:kern w:val="28"/>
          <w:sz w:val="24"/>
          <w:szCs w:val="24"/>
        </w:rPr>
        <w:t>的体积比为</w:t>
      </w:r>
      <w:r>
        <w:rPr>
          <w:rFonts w:ascii="宋体" w:hAnsi="宋体" w:hint="eastAsia"/>
          <w:sz w:val="24"/>
          <w:szCs w:val="24"/>
        </w:rPr>
        <w:t>1:1</w:t>
      </w:r>
      <w:r>
        <w:rPr>
          <w:rFonts w:ascii="宋体" w:hAnsi="宋体"/>
          <w:sz w:val="24"/>
          <w:szCs w:val="24"/>
        </w:rPr>
        <w:t>～</w:t>
      </w:r>
      <w:r>
        <w:rPr>
          <w:rFonts w:ascii="宋体" w:hAnsi="宋体" w:hint="eastAsia"/>
          <w:sz w:val="24"/>
          <w:szCs w:val="24"/>
        </w:rPr>
        <w:t>1：5。</w:t>
      </w:r>
    </w:p>
    <w:p w14:paraId="0458F12F" w14:textId="77777777" w:rsidR="00946C2F" w:rsidRDefault="00000000">
      <w:pPr>
        <w:widowControl/>
        <w:spacing w:line="360" w:lineRule="auto"/>
        <w:ind w:firstLineChars="200" w:firstLine="480"/>
        <w:jc w:val="left"/>
        <w:rPr>
          <w:rFonts w:ascii="宋体" w:hAnsi="宋体" w:hint="eastAsia"/>
          <w:sz w:val="24"/>
          <w:szCs w:val="24"/>
        </w:rPr>
      </w:pPr>
      <w:r>
        <w:rPr>
          <w:rFonts w:ascii="Times New Roman" w:hAnsi="Times New Roman" w:hint="eastAsia"/>
          <w:kern w:val="28"/>
          <w:sz w:val="24"/>
          <w:szCs w:val="24"/>
        </w:rPr>
        <w:t>所述蛋白质</w:t>
      </w:r>
      <w:r>
        <w:rPr>
          <w:rFonts w:ascii="Times New Roman" w:hAnsi="Times New Roman" w:hint="eastAsia"/>
          <w:kern w:val="28"/>
          <w:sz w:val="24"/>
          <w:szCs w:val="24"/>
        </w:rPr>
        <w:t>-</w:t>
      </w:r>
      <w:r>
        <w:rPr>
          <w:rFonts w:ascii="Times New Roman" w:hAnsi="Times New Roman" w:hint="eastAsia"/>
          <w:kern w:val="28"/>
          <w:sz w:val="24"/>
          <w:szCs w:val="24"/>
        </w:rPr>
        <w:t>多糖复合物</w:t>
      </w:r>
      <w:proofErr w:type="gramStart"/>
      <w:r>
        <w:rPr>
          <w:rFonts w:ascii="Times New Roman" w:hAnsi="Times New Roman" w:hint="eastAsia"/>
          <w:kern w:val="28"/>
          <w:sz w:val="24"/>
          <w:szCs w:val="24"/>
        </w:rPr>
        <w:t>由高酯果胶</w:t>
      </w:r>
      <w:proofErr w:type="gramEnd"/>
      <w:r>
        <w:rPr>
          <w:rFonts w:ascii="Times New Roman" w:hAnsi="Times New Roman" w:hint="eastAsia"/>
          <w:kern w:val="28"/>
          <w:sz w:val="24"/>
          <w:szCs w:val="24"/>
        </w:rPr>
        <w:t>和牛乳清蛋白制备而成</w:t>
      </w:r>
      <w:r>
        <w:rPr>
          <w:rFonts w:ascii="宋体" w:hAnsi="宋体" w:hint="eastAsia"/>
          <w:sz w:val="24"/>
          <w:szCs w:val="24"/>
        </w:rPr>
        <w:t>。</w:t>
      </w:r>
    </w:p>
    <w:p w14:paraId="6329519E"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发明人经过大量试验证明，</w:t>
      </w:r>
      <w:proofErr w:type="gramStart"/>
      <w:r>
        <w:rPr>
          <w:rFonts w:ascii="宋体" w:hAnsi="宋体" w:hint="eastAsia"/>
          <w:sz w:val="24"/>
          <w:szCs w:val="24"/>
        </w:rPr>
        <w:t>由</w:t>
      </w:r>
      <w:r>
        <w:rPr>
          <w:rFonts w:ascii="Times New Roman" w:hAnsi="Times New Roman" w:hint="eastAsia"/>
          <w:kern w:val="28"/>
          <w:sz w:val="24"/>
          <w:szCs w:val="24"/>
        </w:rPr>
        <w:t>高酯果胶</w:t>
      </w:r>
      <w:proofErr w:type="gramEnd"/>
      <w:r>
        <w:rPr>
          <w:rFonts w:ascii="Times New Roman" w:hAnsi="Times New Roman" w:hint="eastAsia"/>
          <w:kern w:val="28"/>
          <w:sz w:val="24"/>
          <w:szCs w:val="24"/>
        </w:rPr>
        <w:t>和牛乳清蛋白制备而成的蛋白质</w:t>
      </w:r>
      <w:r>
        <w:rPr>
          <w:rFonts w:ascii="Times New Roman" w:hAnsi="Times New Roman" w:hint="eastAsia"/>
          <w:kern w:val="28"/>
          <w:sz w:val="24"/>
          <w:szCs w:val="24"/>
        </w:rPr>
        <w:t>-</w:t>
      </w:r>
      <w:r>
        <w:rPr>
          <w:rFonts w:ascii="Times New Roman" w:hAnsi="Times New Roman" w:hint="eastAsia"/>
          <w:kern w:val="28"/>
          <w:sz w:val="24"/>
          <w:szCs w:val="24"/>
        </w:rPr>
        <w:t>多糖复合物有利于提高绿原酸的包封率，这是</w:t>
      </w:r>
      <w:proofErr w:type="gramStart"/>
      <w:r>
        <w:rPr>
          <w:rFonts w:ascii="Times New Roman" w:hAnsi="Times New Roman" w:hint="eastAsia"/>
          <w:kern w:val="28"/>
          <w:sz w:val="24"/>
          <w:szCs w:val="24"/>
        </w:rPr>
        <w:t>因为高酯果胶</w:t>
      </w:r>
      <w:proofErr w:type="gramEnd"/>
      <w:r>
        <w:rPr>
          <w:rFonts w:ascii="Times New Roman" w:hAnsi="Times New Roman" w:hint="eastAsia"/>
          <w:kern w:val="28"/>
          <w:sz w:val="24"/>
          <w:szCs w:val="24"/>
        </w:rPr>
        <w:t>和牛乳清蛋白在湿热环境下会发生美拉德反应，形成共价复合物，有利于提高绿原酸的包封率。此处，</w:t>
      </w:r>
      <w:proofErr w:type="gramStart"/>
      <w:r>
        <w:rPr>
          <w:rFonts w:ascii="Times New Roman" w:hAnsi="Times New Roman" w:hint="eastAsia"/>
          <w:color w:val="000000"/>
          <w:sz w:val="24"/>
          <w:szCs w:val="24"/>
        </w:rPr>
        <w:t>高酯果胶</w:t>
      </w:r>
      <w:proofErr w:type="gramEnd"/>
      <w:r>
        <w:rPr>
          <w:rFonts w:ascii="Times New Roman" w:hAnsi="Times New Roman" w:hint="eastAsia"/>
          <w:color w:val="000000"/>
          <w:sz w:val="24"/>
          <w:szCs w:val="24"/>
        </w:rPr>
        <w:t>属于可溶性膳食纤维，对人体有多种健康益处，可显著提高乳液营养价值和健康益处。</w:t>
      </w:r>
    </w:p>
    <w:p w14:paraId="432D076B" w14:textId="77777777" w:rsidR="00946C2F" w:rsidRDefault="00000000">
      <w:pPr>
        <w:widowControl/>
        <w:spacing w:line="360" w:lineRule="auto"/>
        <w:ind w:firstLineChars="200" w:firstLine="480"/>
        <w:jc w:val="left"/>
        <w:rPr>
          <w:rFonts w:ascii="宋体" w:hAnsi="宋体" w:hint="eastAsia"/>
          <w:sz w:val="24"/>
          <w:szCs w:val="24"/>
        </w:rPr>
      </w:pPr>
      <w:r>
        <w:rPr>
          <w:rFonts w:ascii="Times New Roman" w:hAnsi="Times New Roman" w:hint="eastAsia"/>
          <w:kern w:val="28"/>
          <w:sz w:val="24"/>
          <w:szCs w:val="24"/>
        </w:rPr>
        <w:t>所述</w:t>
      </w:r>
      <w:r>
        <w:rPr>
          <w:rFonts w:ascii="宋体" w:hAnsi="宋体" w:hint="eastAsia"/>
          <w:sz w:val="24"/>
          <w:szCs w:val="24"/>
        </w:rPr>
        <w:t>牛乳清蛋白为浓度为3-6%（w/w）的牛乳清蛋白粉溶液，</w:t>
      </w:r>
      <w:proofErr w:type="gramStart"/>
      <w:r>
        <w:rPr>
          <w:rFonts w:ascii="宋体" w:hAnsi="宋体" w:hint="eastAsia"/>
          <w:sz w:val="24"/>
          <w:szCs w:val="24"/>
        </w:rPr>
        <w:t>所述</w:t>
      </w:r>
      <w:r>
        <w:rPr>
          <w:rFonts w:ascii="Times New Roman" w:hAnsi="Times New Roman" w:hint="eastAsia"/>
          <w:kern w:val="28"/>
          <w:sz w:val="24"/>
          <w:szCs w:val="24"/>
        </w:rPr>
        <w:t>高酯果胶</w:t>
      </w:r>
      <w:proofErr w:type="gramEnd"/>
      <w:r>
        <w:rPr>
          <w:rFonts w:ascii="Times New Roman" w:hAnsi="Times New Roman" w:hint="eastAsia"/>
          <w:kern w:val="28"/>
          <w:sz w:val="24"/>
          <w:szCs w:val="24"/>
        </w:rPr>
        <w:t>为</w:t>
      </w:r>
      <w:r>
        <w:rPr>
          <w:rFonts w:ascii="宋体" w:hAnsi="宋体" w:hint="eastAsia"/>
          <w:sz w:val="24"/>
          <w:szCs w:val="24"/>
        </w:rPr>
        <w:t>浓度为3-6（w/w）</w:t>
      </w:r>
      <w:proofErr w:type="gramStart"/>
      <w:r>
        <w:rPr>
          <w:rFonts w:ascii="宋体" w:hAnsi="宋体" w:hint="eastAsia"/>
          <w:sz w:val="24"/>
          <w:szCs w:val="24"/>
        </w:rPr>
        <w:t>的高酯果胶</w:t>
      </w:r>
      <w:proofErr w:type="gramEnd"/>
      <w:r>
        <w:rPr>
          <w:rFonts w:ascii="宋体" w:hAnsi="宋体" w:hint="eastAsia"/>
          <w:sz w:val="24"/>
          <w:szCs w:val="24"/>
        </w:rPr>
        <w:t>粉溶液；</w:t>
      </w:r>
      <w:r>
        <w:rPr>
          <w:rFonts w:ascii="Times New Roman" w:hAnsi="Times New Roman" w:hint="eastAsia"/>
          <w:kern w:val="28"/>
          <w:sz w:val="24"/>
          <w:szCs w:val="24"/>
        </w:rPr>
        <w:t>所述</w:t>
      </w:r>
      <w:r>
        <w:rPr>
          <w:rFonts w:ascii="宋体" w:hAnsi="宋体" w:hint="eastAsia"/>
          <w:sz w:val="24"/>
          <w:szCs w:val="24"/>
        </w:rPr>
        <w:t>牛乳清蛋白粉溶液</w:t>
      </w:r>
      <w:proofErr w:type="gramStart"/>
      <w:r>
        <w:rPr>
          <w:rFonts w:ascii="宋体" w:hAnsi="宋体" w:hint="eastAsia"/>
          <w:sz w:val="24"/>
          <w:szCs w:val="24"/>
        </w:rPr>
        <w:t>与高酯果胶</w:t>
      </w:r>
      <w:proofErr w:type="gramEnd"/>
      <w:r>
        <w:rPr>
          <w:rFonts w:ascii="宋体" w:hAnsi="宋体" w:hint="eastAsia"/>
          <w:sz w:val="24"/>
          <w:szCs w:val="24"/>
        </w:rPr>
        <w:t>粉溶液的</w:t>
      </w:r>
      <w:r>
        <w:rPr>
          <w:rFonts w:ascii="宋体" w:hAnsi="宋体"/>
          <w:sz w:val="24"/>
          <w:szCs w:val="24"/>
        </w:rPr>
        <w:t>体积比</w:t>
      </w:r>
      <w:r>
        <w:rPr>
          <w:rFonts w:ascii="宋体" w:hAnsi="宋体" w:hint="eastAsia"/>
          <w:sz w:val="24"/>
          <w:szCs w:val="24"/>
        </w:rPr>
        <w:t>为1-10</w:t>
      </w:r>
      <w:r>
        <w:rPr>
          <w:rFonts w:ascii="宋体" w:hAnsi="宋体"/>
          <w:sz w:val="24"/>
          <w:szCs w:val="24"/>
        </w:rPr>
        <w:t>:1</w:t>
      </w:r>
      <w:r>
        <w:rPr>
          <w:rFonts w:ascii="宋体" w:hAnsi="宋体" w:hint="eastAsia"/>
          <w:sz w:val="24"/>
          <w:szCs w:val="24"/>
        </w:rPr>
        <w:t>-10，优选为1-5:1-5。</w:t>
      </w:r>
    </w:p>
    <w:p w14:paraId="318278BA"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sz w:val="24"/>
          <w:szCs w:val="24"/>
        </w:rPr>
        <w:t>牛乳清蛋白粉</w:t>
      </w:r>
      <w:r>
        <w:rPr>
          <w:rFonts w:ascii="宋体" w:hAnsi="宋体" w:hint="eastAsia"/>
          <w:sz w:val="24"/>
          <w:szCs w:val="24"/>
        </w:rPr>
        <w:t>溶液</w:t>
      </w:r>
      <w:proofErr w:type="gramStart"/>
      <w:r>
        <w:rPr>
          <w:rFonts w:ascii="宋体" w:hAnsi="宋体"/>
          <w:sz w:val="24"/>
          <w:szCs w:val="24"/>
        </w:rPr>
        <w:t>和高酯果胶</w:t>
      </w:r>
      <w:proofErr w:type="gramEnd"/>
      <w:r>
        <w:rPr>
          <w:rFonts w:ascii="宋体" w:hAnsi="宋体"/>
          <w:sz w:val="24"/>
          <w:szCs w:val="24"/>
        </w:rPr>
        <w:t>粉</w:t>
      </w:r>
      <w:r>
        <w:rPr>
          <w:rFonts w:ascii="宋体" w:hAnsi="宋体" w:hint="eastAsia"/>
          <w:sz w:val="24"/>
          <w:szCs w:val="24"/>
        </w:rPr>
        <w:t>溶液的</w:t>
      </w:r>
      <w:r>
        <w:rPr>
          <w:rFonts w:ascii="宋体" w:hAnsi="宋体"/>
          <w:sz w:val="24"/>
          <w:szCs w:val="24"/>
        </w:rPr>
        <w:t>体积比</w:t>
      </w:r>
      <w:r>
        <w:rPr>
          <w:rFonts w:ascii="宋体" w:hAnsi="宋体" w:hint="eastAsia"/>
          <w:sz w:val="24"/>
          <w:szCs w:val="24"/>
        </w:rPr>
        <w:t>为1-5:1-5时，</w:t>
      </w:r>
      <w:r>
        <w:rPr>
          <w:rFonts w:ascii="宋体" w:hAnsi="宋体"/>
          <w:sz w:val="24"/>
          <w:szCs w:val="24"/>
        </w:rPr>
        <w:t>可以形成合适的界面覆盖，避免分层或结块，同时利于机体吸收</w:t>
      </w:r>
      <w:r>
        <w:rPr>
          <w:rFonts w:ascii="宋体" w:hAnsi="宋体" w:hint="eastAsia"/>
          <w:sz w:val="24"/>
          <w:szCs w:val="24"/>
        </w:rPr>
        <w:t>。</w:t>
      </w:r>
    </w:p>
    <w:p w14:paraId="755E3DC6" w14:textId="77777777" w:rsidR="00946C2F" w:rsidRDefault="00000000">
      <w:pPr>
        <w:widowControl/>
        <w:spacing w:line="360" w:lineRule="auto"/>
        <w:ind w:firstLineChars="200" w:firstLine="480"/>
        <w:jc w:val="left"/>
        <w:rPr>
          <w:rFonts w:ascii="宋体" w:hAnsi="宋体" w:hint="eastAsia"/>
          <w:sz w:val="24"/>
          <w:szCs w:val="24"/>
        </w:rPr>
      </w:pPr>
      <w:r>
        <w:rPr>
          <w:rFonts w:ascii="Times New Roman" w:hAnsi="Times New Roman" w:hint="eastAsia"/>
          <w:kern w:val="28"/>
          <w:sz w:val="24"/>
          <w:szCs w:val="24"/>
        </w:rPr>
        <w:t>所述绿原酸水溶液</w:t>
      </w:r>
      <w:r>
        <w:rPr>
          <w:rFonts w:ascii="宋体" w:hAnsi="宋体" w:hint="eastAsia"/>
          <w:sz w:val="24"/>
          <w:szCs w:val="24"/>
        </w:rPr>
        <w:t>的浓度为5</w:t>
      </w:r>
      <w:r>
        <w:rPr>
          <w:rFonts w:ascii="宋体" w:hAnsi="宋体"/>
          <w:sz w:val="24"/>
          <w:szCs w:val="24"/>
        </w:rPr>
        <w:t>～</w:t>
      </w:r>
      <w:r>
        <w:rPr>
          <w:rFonts w:ascii="宋体" w:hAnsi="宋体" w:hint="eastAsia"/>
          <w:sz w:val="24"/>
          <w:szCs w:val="24"/>
        </w:rPr>
        <w:t>100 mg/mL。</w:t>
      </w:r>
    </w:p>
    <w:p w14:paraId="3B74DCB3" w14:textId="77777777" w:rsidR="00946C2F" w:rsidRDefault="00000000">
      <w:pPr>
        <w:widowControl/>
        <w:spacing w:line="360" w:lineRule="auto"/>
        <w:ind w:firstLineChars="200" w:firstLine="480"/>
        <w:jc w:val="left"/>
        <w:rPr>
          <w:rFonts w:ascii="宋体" w:hAnsi="宋体" w:hint="eastAsia"/>
          <w:sz w:val="24"/>
          <w:szCs w:val="24"/>
        </w:rPr>
      </w:pPr>
      <w:r>
        <w:rPr>
          <w:rFonts w:ascii="Times New Roman" w:hAnsi="Times New Roman" w:hint="eastAsia"/>
          <w:kern w:val="28"/>
          <w:sz w:val="24"/>
          <w:szCs w:val="24"/>
        </w:rPr>
        <w:t>所述油相中，</w:t>
      </w:r>
      <w:r>
        <w:rPr>
          <w:rFonts w:ascii="宋体" w:hAnsi="宋体" w:hint="eastAsia"/>
          <w:sz w:val="24"/>
          <w:szCs w:val="24"/>
        </w:rPr>
        <w:t>聚甘油蓖麻醇酸酯的质量分数为8</w:t>
      </w:r>
      <w:r>
        <w:rPr>
          <w:rFonts w:ascii="宋体" w:hAnsi="宋体"/>
          <w:sz w:val="24"/>
          <w:szCs w:val="24"/>
        </w:rPr>
        <w:t>～</w:t>
      </w:r>
      <w:r>
        <w:rPr>
          <w:rFonts w:ascii="宋体" w:hAnsi="宋体" w:hint="eastAsia"/>
          <w:sz w:val="24"/>
          <w:szCs w:val="24"/>
        </w:rPr>
        <w:t>10%</w:t>
      </w:r>
      <w:r>
        <w:rPr>
          <w:rFonts w:ascii="Times New Roman" w:hAnsi="Times New Roman" w:hint="eastAsia"/>
          <w:kern w:val="28"/>
          <w:sz w:val="24"/>
          <w:szCs w:val="24"/>
        </w:rPr>
        <w:t>。</w:t>
      </w:r>
    </w:p>
    <w:p w14:paraId="0D439DF7"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第二个方面，本发明提供上述第一个方面所述的</w:t>
      </w:r>
      <w:r>
        <w:rPr>
          <w:rFonts w:ascii="Times New Roman" w:hAnsi="Times New Roman" w:hint="eastAsia"/>
          <w:kern w:val="28"/>
          <w:sz w:val="24"/>
          <w:szCs w:val="24"/>
        </w:rPr>
        <w:t>水包油包水型复合乳液的制备方法，包括以下步骤：</w:t>
      </w:r>
      <w:r>
        <w:rPr>
          <w:rFonts w:ascii="宋体" w:hAnsi="宋体" w:hint="eastAsia"/>
          <w:sz w:val="24"/>
          <w:szCs w:val="24"/>
        </w:rPr>
        <w:t xml:space="preserve"> </w:t>
      </w:r>
    </w:p>
    <w:p w14:paraId="760FC586"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（1）将牛乳清蛋白粉溶解在50～60</w:t>
      </w:r>
      <w:r>
        <w:rPr>
          <w:rFonts w:ascii="宋体" w:hAnsi="宋体"/>
          <w:sz w:val="24"/>
          <w:szCs w:val="24"/>
        </w:rPr>
        <w:t>℃</w:t>
      </w:r>
      <w:r>
        <w:rPr>
          <w:rFonts w:ascii="宋体" w:hAnsi="宋体" w:hint="eastAsia"/>
          <w:sz w:val="24"/>
          <w:szCs w:val="24"/>
        </w:rPr>
        <w:t>的超纯水中，使其浓度为3-6</w:t>
      </w:r>
      <w:r>
        <w:rPr>
          <w:rFonts w:ascii="宋体" w:hAnsi="宋体"/>
          <w:sz w:val="24"/>
          <w:szCs w:val="24"/>
        </w:rPr>
        <w:t>%</w:t>
      </w:r>
      <w:r>
        <w:rPr>
          <w:rFonts w:ascii="宋体" w:hAnsi="宋体" w:hint="eastAsia"/>
          <w:sz w:val="24"/>
          <w:szCs w:val="24"/>
        </w:rPr>
        <w:t>（w/w），并在50～60</w:t>
      </w:r>
      <w:r>
        <w:rPr>
          <w:rFonts w:ascii="宋体" w:hAnsi="宋体"/>
          <w:sz w:val="24"/>
          <w:szCs w:val="24"/>
        </w:rPr>
        <w:t>℃</w:t>
      </w:r>
      <w:r>
        <w:rPr>
          <w:rFonts w:ascii="宋体" w:hAnsi="宋体" w:hint="eastAsia"/>
          <w:sz w:val="24"/>
          <w:szCs w:val="24"/>
        </w:rPr>
        <w:t>加热搅拌30</w:t>
      </w:r>
      <w:r>
        <w:rPr>
          <w:rFonts w:ascii="宋体" w:hAnsi="宋体"/>
          <w:sz w:val="24"/>
          <w:szCs w:val="24"/>
        </w:rPr>
        <w:t>～</w:t>
      </w:r>
      <w:r>
        <w:rPr>
          <w:rFonts w:ascii="宋体" w:hAnsi="宋体" w:hint="eastAsia"/>
          <w:sz w:val="24"/>
          <w:szCs w:val="24"/>
        </w:rPr>
        <w:t>60min制成牛乳清蛋白粉储备液，备用；</w:t>
      </w:r>
    </w:p>
    <w:p w14:paraId="561999BE"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（2）</w:t>
      </w:r>
      <w:proofErr w:type="gramStart"/>
      <w:r>
        <w:rPr>
          <w:rFonts w:ascii="宋体" w:hAnsi="宋体" w:hint="eastAsia"/>
          <w:sz w:val="24"/>
          <w:szCs w:val="24"/>
        </w:rPr>
        <w:t>将高酯果胶</w:t>
      </w:r>
      <w:proofErr w:type="gramEnd"/>
      <w:r>
        <w:rPr>
          <w:rFonts w:ascii="宋体" w:hAnsi="宋体" w:hint="eastAsia"/>
          <w:sz w:val="24"/>
          <w:szCs w:val="24"/>
        </w:rPr>
        <w:t>粉溶解在 50</w:t>
      </w:r>
      <w:r>
        <w:rPr>
          <w:rFonts w:ascii="宋体" w:hAnsi="宋体"/>
          <w:sz w:val="24"/>
          <w:szCs w:val="24"/>
        </w:rPr>
        <w:t>～</w:t>
      </w:r>
      <w:r>
        <w:rPr>
          <w:rFonts w:ascii="宋体" w:hAnsi="宋体" w:hint="eastAsia"/>
          <w:sz w:val="24"/>
          <w:szCs w:val="24"/>
        </w:rPr>
        <w:t>60</w:t>
      </w:r>
      <w:r>
        <w:rPr>
          <w:rFonts w:ascii="宋体" w:hAnsi="宋体"/>
          <w:sz w:val="24"/>
          <w:szCs w:val="24"/>
        </w:rPr>
        <w:t>℃</w:t>
      </w:r>
      <w:r>
        <w:rPr>
          <w:rFonts w:ascii="宋体" w:hAnsi="宋体" w:hint="eastAsia"/>
          <w:sz w:val="24"/>
          <w:szCs w:val="24"/>
        </w:rPr>
        <w:t>的超纯水，使其浓度为3-6%（w/w），并在50</w:t>
      </w:r>
      <w:r>
        <w:rPr>
          <w:rFonts w:ascii="宋体" w:hAnsi="宋体"/>
          <w:sz w:val="24"/>
          <w:szCs w:val="24"/>
        </w:rPr>
        <w:t>～</w:t>
      </w:r>
      <w:r>
        <w:rPr>
          <w:rFonts w:ascii="宋体" w:hAnsi="宋体" w:hint="eastAsia"/>
          <w:sz w:val="24"/>
          <w:szCs w:val="24"/>
        </w:rPr>
        <w:t>60</w:t>
      </w:r>
      <w:r>
        <w:rPr>
          <w:rFonts w:ascii="宋体" w:hAnsi="宋体"/>
          <w:sz w:val="24"/>
          <w:szCs w:val="24"/>
        </w:rPr>
        <w:t>℃</w:t>
      </w:r>
      <w:r>
        <w:rPr>
          <w:rFonts w:ascii="宋体" w:hAnsi="宋体" w:hint="eastAsia"/>
          <w:sz w:val="24"/>
          <w:szCs w:val="24"/>
        </w:rPr>
        <w:t>加热搅拌2</w:t>
      </w:r>
      <w:r>
        <w:rPr>
          <w:rFonts w:ascii="宋体" w:hAnsi="宋体"/>
          <w:sz w:val="24"/>
          <w:szCs w:val="24"/>
        </w:rPr>
        <w:t>～</w:t>
      </w:r>
      <w:r>
        <w:rPr>
          <w:rFonts w:ascii="宋体" w:hAnsi="宋体" w:hint="eastAsia"/>
          <w:sz w:val="24"/>
          <w:szCs w:val="24"/>
        </w:rPr>
        <w:t>4 h使PEC充分溶解，</w:t>
      </w:r>
      <w:proofErr w:type="gramStart"/>
      <w:r>
        <w:rPr>
          <w:rFonts w:ascii="宋体" w:hAnsi="宋体" w:hint="eastAsia"/>
          <w:sz w:val="24"/>
          <w:szCs w:val="24"/>
        </w:rPr>
        <w:t>制成高酯果胶</w:t>
      </w:r>
      <w:proofErr w:type="gramEnd"/>
      <w:r>
        <w:rPr>
          <w:rFonts w:ascii="宋体" w:hAnsi="宋体" w:hint="eastAsia"/>
          <w:sz w:val="24"/>
          <w:szCs w:val="24"/>
        </w:rPr>
        <w:t>粉储备液，备用；</w:t>
      </w:r>
    </w:p>
    <w:p w14:paraId="2F2BF5CD"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（3）</w:t>
      </w:r>
      <w:r>
        <w:rPr>
          <w:rFonts w:ascii="宋体" w:hAnsi="宋体"/>
          <w:sz w:val="24"/>
          <w:szCs w:val="24"/>
        </w:rPr>
        <w:t>将</w:t>
      </w:r>
      <w:r>
        <w:rPr>
          <w:rFonts w:ascii="宋体" w:hAnsi="宋体" w:hint="eastAsia"/>
          <w:sz w:val="24"/>
          <w:szCs w:val="24"/>
        </w:rPr>
        <w:t>牛乳清蛋白粉储备液</w:t>
      </w:r>
      <w:proofErr w:type="gramStart"/>
      <w:r>
        <w:rPr>
          <w:rFonts w:ascii="宋体" w:hAnsi="宋体" w:hint="eastAsia"/>
          <w:sz w:val="24"/>
          <w:szCs w:val="24"/>
        </w:rPr>
        <w:t>和高酯果胶</w:t>
      </w:r>
      <w:proofErr w:type="gramEnd"/>
      <w:r>
        <w:rPr>
          <w:rFonts w:ascii="宋体" w:hAnsi="宋体" w:hint="eastAsia"/>
          <w:sz w:val="24"/>
          <w:szCs w:val="24"/>
        </w:rPr>
        <w:t>粉储备液</w:t>
      </w:r>
      <w:r>
        <w:rPr>
          <w:rFonts w:ascii="宋体" w:hAnsi="宋体"/>
          <w:sz w:val="24"/>
          <w:szCs w:val="24"/>
        </w:rPr>
        <w:t>混合，在50～</w:t>
      </w:r>
      <w:r>
        <w:rPr>
          <w:rFonts w:ascii="宋体" w:hAnsi="宋体" w:hint="eastAsia"/>
          <w:sz w:val="24"/>
          <w:szCs w:val="24"/>
        </w:rPr>
        <w:t>60</w:t>
      </w:r>
      <w:r>
        <w:rPr>
          <w:rFonts w:ascii="宋体" w:hAnsi="宋体"/>
          <w:sz w:val="24"/>
          <w:szCs w:val="24"/>
        </w:rPr>
        <w:t>℃加热并以800 rpm磁力搅拌3～</w:t>
      </w:r>
      <w:r>
        <w:rPr>
          <w:rFonts w:ascii="宋体" w:hAnsi="宋体" w:hint="eastAsia"/>
          <w:sz w:val="24"/>
          <w:szCs w:val="24"/>
        </w:rPr>
        <w:t>6</w:t>
      </w:r>
      <w:r>
        <w:rPr>
          <w:rFonts w:ascii="宋体" w:hAnsi="宋体"/>
          <w:sz w:val="24"/>
          <w:szCs w:val="24"/>
        </w:rPr>
        <w:t>h，制成</w:t>
      </w:r>
      <w:r>
        <w:rPr>
          <w:rFonts w:ascii="Times New Roman" w:hAnsi="Times New Roman" w:hint="eastAsia"/>
          <w:kern w:val="28"/>
          <w:sz w:val="24"/>
          <w:szCs w:val="24"/>
        </w:rPr>
        <w:t>蛋白质</w:t>
      </w:r>
      <w:r>
        <w:rPr>
          <w:rFonts w:ascii="Times New Roman" w:hAnsi="Times New Roman" w:hint="eastAsia"/>
          <w:kern w:val="28"/>
          <w:sz w:val="24"/>
          <w:szCs w:val="24"/>
        </w:rPr>
        <w:t>-</w:t>
      </w:r>
      <w:r>
        <w:rPr>
          <w:rFonts w:ascii="Times New Roman" w:hAnsi="Times New Roman" w:hint="eastAsia"/>
          <w:kern w:val="28"/>
          <w:sz w:val="24"/>
          <w:szCs w:val="24"/>
        </w:rPr>
        <w:t>多糖</w:t>
      </w:r>
      <w:r>
        <w:rPr>
          <w:rFonts w:ascii="宋体" w:hAnsi="宋体"/>
          <w:sz w:val="24"/>
          <w:szCs w:val="24"/>
        </w:rPr>
        <w:t>复合物，</w:t>
      </w:r>
      <w:r>
        <w:rPr>
          <w:rFonts w:ascii="宋体" w:hAnsi="宋体" w:hint="eastAsia"/>
          <w:sz w:val="24"/>
          <w:szCs w:val="24"/>
        </w:rPr>
        <w:t>调整pH为4</w:t>
      </w:r>
      <w:r>
        <w:rPr>
          <w:rFonts w:ascii="宋体" w:hAnsi="宋体"/>
          <w:sz w:val="24"/>
          <w:szCs w:val="24"/>
        </w:rPr>
        <w:t>～</w:t>
      </w:r>
      <w:r>
        <w:rPr>
          <w:rFonts w:ascii="宋体" w:hAnsi="宋体" w:hint="eastAsia"/>
          <w:sz w:val="24"/>
          <w:szCs w:val="24"/>
        </w:rPr>
        <w:t>6，</w:t>
      </w:r>
      <w:r>
        <w:rPr>
          <w:rFonts w:ascii="宋体" w:hAnsi="宋体"/>
          <w:sz w:val="24"/>
          <w:szCs w:val="24"/>
        </w:rPr>
        <w:t>然后放在4℃过夜使复合物充分水化</w:t>
      </w:r>
      <w:r>
        <w:rPr>
          <w:rFonts w:ascii="宋体" w:hAnsi="宋体" w:hint="eastAsia"/>
          <w:sz w:val="24"/>
          <w:szCs w:val="24"/>
        </w:rPr>
        <w:t>；</w:t>
      </w:r>
    </w:p>
    <w:p w14:paraId="448182E7"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本步骤中牛乳清蛋白粉储备液</w:t>
      </w:r>
      <w:proofErr w:type="gramStart"/>
      <w:r>
        <w:rPr>
          <w:rFonts w:ascii="宋体" w:hAnsi="宋体" w:hint="eastAsia"/>
          <w:sz w:val="24"/>
          <w:szCs w:val="24"/>
        </w:rPr>
        <w:t>和高酯果胶</w:t>
      </w:r>
      <w:proofErr w:type="gramEnd"/>
      <w:r>
        <w:rPr>
          <w:rFonts w:ascii="宋体" w:hAnsi="宋体" w:hint="eastAsia"/>
          <w:sz w:val="24"/>
          <w:szCs w:val="24"/>
        </w:rPr>
        <w:t>粉储备液</w:t>
      </w:r>
      <w:r>
        <w:rPr>
          <w:rFonts w:ascii="宋体" w:hAnsi="宋体"/>
          <w:sz w:val="24"/>
          <w:szCs w:val="24"/>
        </w:rPr>
        <w:t>混合</w:t>
      </w:r>
      <w:r>
        <w:rPr>
          <w:rFonts w:ascii="宋体" w:hAnsi="宋体" w:hint="eastAsia"/>
          <w:sz w:val="24"/>
          <w:szCs w:val="24"/>
        </w:rPr>
        <w:t>后，必须要</w:t>
      </w:r>
      <w:r>
        <w:rPr>
          <w:rFonts w:ascii="宋体" w:hAnsi="宋体"/>
          <w:sz w:val="24"/>
          <w:szCs w:val="24"/>
        </w:rPr>
        <w:t>在50～</w:t>
      </w:r>
      <w:r>
        <w:rPr>
          <w:rFonts w:ascii="宋体" w:hAnsi="宋体" w:hint="eastAsia"/>
          <w:sz w:val="24"/>
          <w:szCs w:val="24"/>
        </w:rPr>
        <w:t>60</w:t>
      </w:r>
      <w:r>
        <w:rPr>
          <w:rFonts w:ascii="宋体" w:hAnsi="宋体"/>
          <w:sz w:val="24"/>
          <w:szCs w:val="24"/>
        </w:rPr>
        <w:t>℃加热</w:t>
      </w:r>
      <w:r>
        <w:rPr>
          <w:rFonts w:ascii="宋体" w:hAnsi="宋体" w:hint="eastAsia"/>
          <w:sz w:val="24"/>
          <w:szCs w:val="24"/>
        </w:rPr>
        <w:t>的条件下进行磁力搅拌，如果</w:t>
      </w:r>
      <w:r>
        <w:rPr>
          <w:rFonts w:ascii="宋体" w:hAnsi="宋体"/>
          <w:sz w:val="24"/>
          <w:szCs w:val="24"/>
        </w:rPr>
        <w:t>温度过低，乳清蛋白粉</w:t>
      </w:r>
      <w:proofErr w:type="gramStart"/>
      <w:r>
        <w:rPr>
          <w:rFonts w:ascii="宋体" w:hAnsi="宋体"/>
          <w:sz w:val="24"/>
          <w:szCs w:val="24"/>
        </w:rPr>
        <w:t>和高酯果胶</w:t>
      </w:r>
      <w:proofErr w:type="gramEnd"/>
      <w:r>
        <w:rPr>
          <w:rFonts w:ascii="宋体" w:hAnsi="宋体"/>
          <w:sz w:val="24"/>
          <w:szCs w:val="24"/>
        </w:rPr>
        <w:t>粉都难以溶解，在50～60℃加热搅拌可以提高溶液流动性和减少冷结晶，得到稳定的溶液。</w:t>
      </w:r>
    </w:p>
    <w:p w14:paraId="3787B20F" w14:textId="77777777" w:rsidR="00946C2F" w:rsidRDefault="00000000">
      <w:pPr>
        <w:widowControl/>
        <w:spacing w:line="360" w:lineRule="auto"/>
        <w:jc w:val="left"/>
        <w:rPr>
          <w:rFonts w:ascii="宋体" w:hAnsi="宋体" w:hint="eastAsia"/>
          <w:sz w:val="24"/>
          <w:szCs w:val="24"/>
        </w:rPr>
      </w:pPr>
      <w:r>
        <w:rPr>
          <w:rFonts w:ascii="宋体" w:hAnsi="宋体" w:hint="eastAsia"/>
          <w:sz w:val="24"/>
          <w:szCs w:val="24"/>
        </w:rPr>
        <w:t>本步骤中</w:t>
      </w:r>
      <w:r>
        <w:rPr>
          <w:rFonts w:ascii="Times New Roman" w:hAnsi="Times New Roman" w:hint="eastAsia"/>
          <w:kern w:val="28"/>
          <w:sz w:val="24"/>
          <w:szCs w:val="24"/>
        </w:rPr>
        <w:t>蛋白质</w:t>
      </w:r>
      <w:r>
        <w:rPr>
          <w:rFonts w:ascii="Times New Roman" w:hAnsi="Times New Roman" w:hint="eastAsia"/>
          <w:kern w:val="28"/>
          <w:sz w:val="24"/>
          <w:szCs w:val="24"/>
        </w:rPr>
        <w:t>-</w:t>
      </w:r>
      <w:r>
        <w:rPr>
          <w:rFonts w:ascii="Times New Roman" w:hAnsi="Times New Roman" w:hint="eastAsia"/>
          <w:kern w:val="28"/>
          <w:sz w:val="24"/>
          <w:szCs w:val="24"/>
        </w:rPr>
        <w:t>多糖</w:t>
      </w:r>
      <w:r>
        <w:rPr>
          <w:rFonts w:ascii="宋体" w:hAnsi="宋体"/>
          <w:sz w:val="24"/>
          <w:szCs w:val="24"/>
        </w:rPr>
        <w:t>复合物</w:t>
      </w:r>
      <w:r>
        <w:rPr>
          <w:rFonts w:ascii="宋体" w:hAnsi="宋体" w:hint="eastAsia"/>
          <w:sz w:val="24"/>
          <w:szCs w:val="24"/>
        </w:rPr>
        <w:t>的pH调整为4</w:t>
      </w:r>
      <w:r>
        <w:rPr>
          <w:rFonts w:ascii="宋体" w:hAnsi="宋体"/>
          <w:sz w:val="24"/>
          <w:szCs w:val="24"/>
        </w:rPr>
        <w:t>～</w:t>
      </w:r>
      <w:r>
        <w:rPr>
          <w:rFonts w:ascii="宋体" w:hAnsi="宋体" w:hint="eastAsia"/>
          <w:sz w:val="24"/>
          <w:szCs w:val="24"/>
        </w:rPr>
        <w:t>6时，</w:t>
      </w:r>
      <w:r>
        <w:rPr>
          <w:rFonts w:ascii="宋体" w:hAnsi="宋体"/>
          <w:sz w:val="24"/>
          <w:szCs w:val="24"/>
        </w:rPr>
        <w:t>液滴间存在较高的静电斥力，具有较强的抗聚结稳定性，同时具有良好的分散性和热稳定性。</w:t>
      </w:r>
    </w:p>
    <w:p w14:paraId="6BC6B0A1"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本步骤制备的</w:t>
      </w:r>
      <w:r>
        <w:rPr>
          <w:rFonts w:ascii="Times New Roman" w:hAnsi="Times New Roman" w:hint="eastAsia"/>
          <w:kern w:val="28"/>
          <w:sz w:val="24"/>
          <w:szCs w:val="24"/>
        </w:rPr>
        <w:t>蛋白质</w:t>
      </w:r>
      <w:r>
        <w:rPr>
          <w:rFonts w:ascii="Times New Roman" w:hAnsi="Times New Roman" w:hint="eastAsia"/>
          <w:kern w:val="28"/>
          <w:sz w:val="24"/>
          <w:szCs w:val="24"/>
        </w:rPr>
        <w:t>-</w:t>
      </w:r>
      <w:r>
        <w:rPr>
          <w:rFonts w:ascii="Times New Roman" w:hAnsi="Times New Roman" w:hint="eastAsia"/>
          <w:kern w:val="28"/>
          <w:sz w:val="24"/>
          <w:szCs w:val="24"/>
        </w:rPr>
        <w:t>多糖</w:t>
      </w:r>
      <w:r>
        <w:rPr>
          <w:rFonts w:ascii="宋体" w:hAnsi="宋体"/>
          <w:sz w:val="24"/>
          <w:szCs w:val="24"/>
        </w:rPr>
        <w:t>复合物放在4 ℃过夜</w:t>
      </w:r>
      <w:r>
        <w:rPr>
          <w:rFonts w:ascii="宋体" w:hAnsi="宋体" w:hint="eastAsia"/>
          <w:sz w:val="24"/>
          <w:szCs w:val="24"/>
        </w:rPr>
        <w:t>是效果最好的，如果</w:t>
      </w:r>
      <w:r>
        <w:rPr>
          <w:rFonts w:ascii="宋体" w:hAnsi="宋体"/>
          <w:sz w:val="24"/>
          <w:szCs w:val="24"/>
        </w:rPr>
        <w:t>温度过低，易结晶破坏乳液性质，温度过高，乳液易变质。</w:t>
      </w:r>
      <w:r>
        <w:rPr>
          <w:rFonts w:ascii="宋体" w:hAnsi="宋体" w:hint="eastAsia"/>
          <w:sz w:val="24"/>
          <w:szCs w:val="24"/>
        </w:rPr>
        <w:t>（4）将纯度≥99%的绿原酸溶于超纯水，使其浓度为5</w:t>
      </w:r>
      <w:r>
        <w:rPr>
          <w:rFonts w:ascii="宋体" w:hAnsi="宋体"/>
          <w:sz w:val="24"/>
          <w:szCs w:val="24"/>
        </w:rPr>
        <w:t>～</w:t>
      </w:r>
      <w:r>
        <w:rPr>
          <w:rFonts w:ascii="宋体" w:hAnsi="宋体" w:hint="eastAsia"/>
          <w:sz w:val="24"/>
          <w:szCs w:val="24"/>
        </w:rPr>
        <w:t>100 mg/mL，在50</w:t>
      </w:r>
      <w:r>
        <w:rPr>
          <w:rFonts w:ascii="宋体" w:hAnsi="宋体"/>
          <w:sz w:val="24"/>
          <w:szCs w:val="24"/>
        </w:rPr>
        <w:t>～</w:t>
      </w:r>
      <w:r>
        <w:rPr>
          <w:rFonts w:ascii="宋体" w:hAnsi="宋体" w:hint="eastAsia"/>
          <w:sz w:val="24"/>
          <w:szCs w:val="24"/>
        </w:rPr>
        <w:t>50</w:t>
      </w:r>
      <w:r>
        <w:rPr>
          <w:rFonts w:ascii="宋体" w:hAnsi="宋体"/>
          <w:sz w:val="24"/>
          <w:szCs w:val="24"/>
        </w:rPr>
        <w:t>℃</w:t>
      </w:r>
      <w:r>
        <w:rPr>
          <w:rFonts w:ascii="宋体" w:hAnsi="宋体" w:hint="eastAsia"/>
          <w:sz w:val="24"/>
          <w:szCs w:val="24"/>
        </w:rPr>
        <w:t>避光加热搅拌均匀，得到</w:t>
      </w:r>
      <w:r>
        <w:rPr>
          <w:rFonts w:ascii="Times New Roman" w:hAnsi="Times New Roman" w:hint="eastAsia"/>
          <w:kern w:val="28"/>
          <w:sz w:val="24"/>
          <w:szCs w:val="24"/>
        </w:rPr>
        <w:t>绿原酸水溶液，</w:t>
      </w:r>
      <w:r>
        <w:rPr>
          <w:rFonts w:ascii="宋体" w:hAnsi="宋体" w:hint="eastAsia"/>
          <w:sz w:val="24"/>
          <w:szCs w:val="24"/>
        </w:rPr>
        <w:t>备用；</w:t>
      </w:r>
    </w:p>
    <w:p w14:paraId="4072FFC2"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（5）将聚甘油蓖麻醇酸酯（PGPR）加入到食用大豆油中，在50</w:t>
      </w:r>
      <w:r>
        <w:rPr>
          <w:rFonts w:ascii="宋体" w:hAnsi="宋体"/>
          <w:sz w:val="24"/>
          <w:szCs w:val="24"/>
        </w:rPr>
        <w:t>～</w:t>
      </w:r>
      <w:r>
        <w:rPr>
          <w:rFonts w:ascii="宋体" w:hAnsi="宋体" w:hint="eastAsia"/>
          <w:sz w:val="24"/>
          <w:szCs w:val="24"/>
        </w:rPr>
        <w:t>60</w:t>
      </w:r>
      <w:r>
        <w:rPr>
          <w:rFonts w:ascii="宋体" w:hAnsi="宋体"/>
          <w:sz w:val="24"/>
          <w:szCs w:val="24"/>
        </w:rPr>
        <w:t>℃</w:t>
      </w:r>
      <w:r>
        <w:rPr>
          <w:rFonts w:ascii="宋体" w:hAnsi="宋体" w:hint="eastAsia"/>
          <w:sz w:val="24"/>
          <w:szCs w:val="24"/>
        </w:rPr>
        <w:t>加热搅拌均匀，备用；</w:t>
      </w:r>
    </w:p>
    <w:p w14:paraId="16CA8547"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（6）油包水乳液的配置：按1:1</w:t>
      </w:r>
      <w:r>
        <w:rPr>
          <w:rFonts w:ascii="宋体" w:hAnsi="宋体"/>
          <w:sz w:val="24"/>
          <w:szCs w:val="24"/>
        </w:rPr>
        <w:t>～</w:t>
      </w:r>
      <w:r>
        <w:rPr>
          <w:rFonts w:ascii="宋体" w:hAnsi="宋体" w:hint="eastAsia"/>
          <w:sz w:val="24"/>
          <w:szCs w:val="24"/>
        </w:rPr>
        <w:t>1:5的比例，将步骤（4）制备内水相滴加到步骤（5）制备的油相中，加热搅拌10</w:t>
      </w:r>
      <w:r>
        <w:rPr>
          <w:rFonts w:ascii="宋体" w:hAnsi="宋体"/>
          <w:sz w:val="24"/>
          <w:szCs w:val="24"/>
        </w:rPr>
        <w:t>～</w:t>
      </w:r>
      <w:r>
        <w:rPr>
          <w:rFonts w:ascii="宋体" w:hAnsi="宋体" w:hint="eastAsia"/>
          <w:sz w:val="24"/>
          <w:szCs w:val="24"/>
        </w:rPr>
        <w:t>30min，得到的乳浊液超声处理3</w:t>
      </w:r>
      <w:r>
        <w:rPr>
          <w:rFonts w:ascii="宋体" w:hAnsi="宋体"/>
          <w:sz w:val="24"/>
          <w:szCs w:val="24"/>
        </w:rPr>
        <w:t>～</w:t>
      </w:r>
      <w:r>
        <w:rPr>
          <w:rFonts w:ascii="宋体" w:hAnsi="宋体" w:hint="eastAsia"/>
          <w:sz w:val="24"/>
          <w:szCs w:val="24"/>
        </w:rPr>
        <w:t>5 min，随后在4</w:t>
      </w:r>
      <w:r>
        <w:rPr>
          <w:rFonts w:ascii="宋体" w:hAnsi="宋体"/>
          <w:sz w:val="24"/>
          <w:szCs w:val="24"/>
        </w:rPr>
        <w:t>℃</w:t>
      </w:r>
      <w:r>
        <w:rPr>
          <w:rFonts w:ascii="宋体" w:hAnsi="宋体" w:hint="eastAsia"/>
          <w:sz w:val="24"/>
          <w:szCs w:val="24"/>
        </w:rPr>
        <w:t>放置30</w:t>
      </w:r>
      <w:r>
        <w:rPr>
          <w:rFonts w:ascii="宋体" w:hAnsi="宋体"/>
          <w:sz w:val="24"/>
          <w:szCs w:val="24"/>
        </w:rPr>
        <w:t>～</w:t>
      </w:r>
      <w:r>
        <w:rPr>
          <w:rFonts w:ascii="宋体" w:hAnsi="宋体" w:hint="eastAsia"/>
          <w:sz w:val="24"/>
          <w:szCs w:val="24"/>
        </w:rPr>
        <w:t>60min得到基础的油包水乳液。</w:t>
      </w:r>
    </w:p>
    <w:p w14:paraId="7267B96D"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（7）水包油包水乳液的配置：将步骤（6）制备的油包水溶液加入到步骤（3）的不同比例的外水相中，体积比为1:1</w:t>
      </w:r>
      <w:r>
        <w:rPr>
          <w:rFonts w:ascii="宋体" w:hAnsi="宋体"/>
          <w:sz w:val="24"/>
          <w:szCs w:val="24"/>
        </w:rPr>
        <w:t>～</w:t>
      </w:r>
      <w:r>
        <w:rPr>
          <w:rFonts w:ascii="宋体" w:hAnsi="宋体" w:hint="eastAsia"/>
          <w:sz w:val="24"/>
          <w:szCs w:val="24"/>
        </w:rPr>
        <w:t>1:5，加热搅拌10</w:t>
      </w:r>
      <w:r>
        <w:rPr>
          <w:rFonts w:ascii="宋体" w:hAnsi="宋体"/>
          <w:sz w:val="24"/>
          <w:szCs w:val="24"/>
        </w:rPr>
        <w:t>～</w:t>
      </w:r>
      <w:r>
        <w:rPr>
          <w:rFonts w:ascii="宋体" w:hAnsi="宋体" w:hint="eastAsia"/>
          <w:sz w:val="24"/>
          <w:szCs w:val="24"/>
        </w:rPr>
        <w:t>30min，得到的乳液超声处理3</w:t>
      </w:r>
      <w:r>
        <w:rPr>
          <w:rFonts w:ascii="宋体" w:hAnsi="宋体"/>
          <w:sz w:val="24"/>
          <w:szCs w:val="24"/>
        </w:rPr>
        <w:t>～</w:t>
      </w:r>
      <w:r>
        <w:rPr>
          <w:rFonts w:ascii="宋体" w:hAnsi="宋体" w:hint="eastAsia"/>
          <w:sz w:val="24"/>
          <w:szCs w:val="24"/>
        </w:rPr>
        <w:t>6min。</w:t>
      </w:r>
    </w:p>
    <w:p w14:paraId="10417320"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进一步地，</w:t>
      </w:r>
      <w:r>
        <w:rPr>
          <w:rFonts w:ascii="Times New Roman" w:hAnsi="Times New Roman" w:hint="eastAsia"/>
          <w:kern w:val="28"/>
          <w:sz w:val="24"/>
          <w:szCs w:val="24"/>
        </w:rPr>
        <w:t>步骤（</w:t>
      </w:r>
      <w:r>
        <w:rPr>
          <w:rFonts w:ascii="Times New Roman" w:hAnsi="Times New Roman" w:hint="eastAsia"/>
          <w:kern w:val="28"/>
          <w:sz w:val="24"/>
          <w:szCs w:val="24"/>
        </w:rPr>
        <w:t>7</w:t>
      </w:r>
      <w:r>
        <w:rPr>
          <w:rFonts w:ascii="Times New Roman" w:hAnsi="Times New Roman" w:hint="eastAsia"/>
          <w:kern w:val="28"/>
          <w:sz w:val="24"/>
          <w:szCs w:val="24"/>
        </w:rPr>
        <w:t>）、（</w:t>
      </w:r>
      <w:r>
        <w:rPr>
          <w:rFonts w:ascii="Times New Roman" w:hAnsi="Times New Roman" w:hint="eastAsia"/>
          <w:kern w:val="28"/>
          <w:sz w:val="24"/>
          <w:szCs w:val="24"/>
        </w:rPr>
        <w:t>8</w:t>
      </w:r>
      <w:r>
        <w:rPr>
          <w:rFonts w:ascii="Times New Roman" w:hAnsi="Times New Roman" w:hint="eastAsia"/>
          <w:kern w:val="28"/>
          <w:sz w:val="24"/>
          <w:szCs w:val="24"/>
        </w:rPr>
        <w:t>）</w:t>
      </w:r>
      <w:r>
        <w:rPr>
          <w:rFonts w:ascii="宋体" w:hAnsi="宋体" w:hint="eastAsia"/>
          <w:sz w:val="24"/>
          <w:szCs w:val="24"/>
        </w:rPr>
        <w:t>中是以800 rpm在50</w:t>
      </w:r>
      <w:r>
        <w:rPr>
          <w:rFonts w:ascii="宋体" w:hAnsi="宋体"/>
          <w:sz w:val="24"/>
          <w:szCs w:val="24"/>
        </w:rPr>
        <w:t>～</w:t>
      </w:r>
      <w:r>
        <w:rPr>
          <w:rFonts w:ascii="宋体" w:hAnsi="宋体" w:hint="eastAsia"/>
          <w:sz w:val="24"/>
          <w:szCs w:val="24"/>
        </w:rPr>
        <w:t>60</w:t>
      </w:r>
      <w:r>
        <w:rPr>
          <w:rFonts w:ascii="宋体" w:hAnsi="宋体"/>
          <w:sz w:val="24"/>
          <w:szCs w:val="24"/>
        </w:rPr>
        <w:t>℃</w:t>
      </w:r>
      <w:r>
        <w:rPr>
          <w:rFonts w:ascii="宋体" w:hAnsi="宋体" w:hint="eastAsia"/>
          <w:sz w:val="24"/>
          <w:szCs w:val="24"/>
        </w:rPr>
        <w:t>加热搅拌10</w:t>
      </w:r>
      <w:r>
        <w:rPr>
          <w:rFonts w:ascii="宋体" w:hAnsi="宋体"/>
          <w:sz w:val="24"/>
          <w:szCs w:val="24"/>
        </w:rPr>
        <w:t>～</w:t>
      </w:r>
      <w:r>
        <w:rPr>
          <w:rFonts w:ascii="宋体" w:hAnsi="宋体" w:hint="eastAsia"/>
          <w:sz w:val="24"/>
          <w:szCs w:val="24"/>
        </w:rPr>
        <w:t>30min。</w:t>
      </w:r>
    </w:p>
    <w:p w14:paraId="39EA5516"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进一步地，</w:t>
      </w:r>
      <w:r>
        <w:rPr>
          <w:rFonts w:ascii="Times New Roman" w:hAnsi="Times New Roman" w:hint="eastAsia"/>
          <w:kern w:val="28"/>
          <w:sz w:val="24"/>
          <w:szCs w:val="24"/>
        </w:rPr>
        <w:t>步骤（</w:t>
      </w:r>
      <w:r>
        <w:rPr>
          <w:rFonts w:ascii="Times New Roman" w:hAnsi="Times New Roman" w:hint="eastAsia"/>
          <w:kern w:val="28"/>
          <w:sz w:val="24"/>
          <w:szCs w:val="24"/>
        </w:rPr>
        <w:t>7</w:t>
      </w:r>
      <w:r>
        <w:rPr>
          <w:rFonts w:ascii="Times New Roman" w:hAnsi="Times New Roman" w:hint="eastAsia"/>
          <w:kern w:val="28"/>
          <w:sz w:val="24"/>
          <w:szCs w:val="24"/>
        </w:rPr>
        <w:t>）、（</w:t>
      </w:r>
      <w:r>
        <w:rPr>
          <w:rFonts w:ascii="Times New Roman" w:hAnsi="Times New Roman" w:hint="eastAsia"/>
          <w:kern w:val="28"/>
          <w:sz w:val="24"/>
          <w:szCs w:val="24"/>
        </w:rPr>
        <w:t>8</w:t>
      </w:r>
      <w:r>
        <w:rPr>
          <w:rFonts w:ascii="Times New Roman" w:hAnsi="Times New Roman" w:hint="eastAsia"/>
          <w:kern w:val="28"/>
          <w:sz w:val="24"/>
          <w:szCs w:val="24"/>
        </w:rPr>
        <w:t>）</w:t>
      </w:r>
      <w:r>
        <w:rPr>
          <w:rFonts w:ascii="宋体" w:hAnsi="宋体" w:hint="eastAsia"/>
          <w:sz w:val="24"/>
          <w:szCs w:val="24"/>
        </w:rPr>
        <w:t>所述超声处理采用超声细胞破碎仪以60-80 W，25-30 kHz，工作1-3s间隔1s的模式。</w:t>
      </w:r>
    </w:p>
    <w:p w14:paraId="6DCF0B40" w14:textId="77777777" w:rsidR="00946C2F" w:rsidRDefault="00000000">
      <w:pPr>
        <w:widowControl/>
        <w:spacing w:line="360" w:lineRule="auto"/>
        <w:ind w:firstLineChars="200" w:firstLine="480"/>
        <w:jc w:val="left"/>
        <w:rPr>
          <w:rFonts w:ascii="宋体" w:hAnsi="宋体" w:hint="eastAsia"/>
          <w:sz w:val="24"/>
          <w:szCs w:val="24"/>
        </w:rPr>
      </w:pPr>
      <w:r>
        <w:rPr>
          <w:rFonts w:ascii="宋体" w:hAnsi="宋体" w:hint="eastAsia"/>
          <w:sz w:val="24"/>
          <w:szCs w:val="24"/>
        </w:rPr>
        <w:t>本申请</w:t>
      </w:r>
      <w:r>
        <w:rPr>
          <w:rFonts w:ascii="宋体" w:hAnsi="宋体"/>
          <w:sz w:val="24"/>
          <w:szCs w:val="24"/>
        </w:rPr>
        <w:t>超声处理的模式，</w:t>
      </w:r>
      <w:r>
        <w:rPr>
          <w:rFonts w:ascii="宋体" w:hAnsi="宋体" w:hint="eastAsia"/>
          <w:sz w:val="24"/>
          <w:szCs w:val="24"/>
        </w:rPr>
        <w:t>可以</w:t>
      </w:r>
      <w:r>
        <w:rPr>
          <w:rFonts w:ascii="宋体" w:hAnsi="宋体"/>
          <w:sz w:val="24"/>
          <w:szCs w:val="24"/>
        </w:rPr>
        <w:t>细化乳液颗粒，显著</w:t>
      </w:r>
      <w:r>
        <w:rPr>
          <w:rFonts w:ascii="宋体" w:hAnsi="宋体" w:hint="eastAsia"/>
          <w:sz w:val="24"/>
          <w:szCs w:val="24"/>
        </w:rPr>
        <w:t>提高</w:t>
      </w:r>
      <w:r>
        <w:rPr>
          <w:rFonts w:ascii="宋体" w:hAnsi="宋体"/>
          <w:sz w:val="24"/>
          <w:szCs w:val="24"/>
        </w:rPr>
        <w:t>乳化效果</w:t>
      </w:r>
      <w:r>
        <w:rPr>
          <w:rFonts w:ascii="宋体" w:hAnsi="宋体" w:hint="eastAsia"/>
          <w:sz w:val="24"/>
          <w:szCs w:val="24"/>
        </w:rPr>
        <w:t>；</w:t>
      </w:r>
      <w:r>
        <w:rPr>
          <w:rFonts w:ascii="宋体" w:hAnsi="宋体"/>
          <w:sz w:val="24"/>
          <w:szCs w:val="24"/>
        </w:rPr>
        <w:t>处理</w:t>
      </w:r>
      <w:r>
        <w:rPr>
          <w:rFonts w:ascii="宋体" w:hAnsi="宋体" w:hint="eastAsia"/>
          <w:sz w:val="24"/>
          <w:szCs w:val="24"/>
        </w:rPr>
        <w:t>快速</w:t>
      </w:r>
      <w:r>
        <w:rPr>
          <w:rFonts w:ascii="宋体" w:hAnsi="宋体"/>
          <w:sz w:val="24"/>
          <w:szCs w:val="24"/>
        </w:rPr>
        <w:t>，</w:t>
      </w:r>
      <w:r>
        <w:rPr>
          <w:rFonts w:ascii="宋体" w:hAnsi="宋体" w:hint="eastAsia"/>
          <w:sz w:val="24"/>
          <w:szCs w:val="24"/>
        </w:rPr>
        <w:t>有效</w:t>
      </w:r>
      <w:r>
        <w:rPr>
          <w:rFonts w:ascii="宋体" w:hAnsi="宋体"/>
          <w:sz w:val="24"/>
          <w:szCs w:val="24"/>
        </w:rPr>
        <w:t>提高乳化效率；</w:t>
      </w:r>
      <w:r>
        <w:rPr>
          <w:rFonts w:ascii="宋体" w:hAnsi="宋体" w:hint="eastAsia"/>
          <w:sz w:val="24"/>
          <w:szCs w:val="24"/>
        </w:rPr>
        <w:t>处理方式</w:t>
      </w:r>
      <w:r>
        <w:rPr>
          <w:rFonts w:ascii="宋体" w:hAnsi="宋体"/>
          <w:sz w:val="24"/>
          <w:szCs w:val="24"/>
        </w:rPr>
        <w:t>温和，</w:t>
      </w:r>
      <w:r>
        <w:rPr>
          <w:rFonts w:ascii="宋体" w:hAnsi="宋体" w:hint="eastAsia"/>
          <w:sz w:val="24"/>
          <w:szCs w:val="24"/>
        </w:rPr>
        <w:t>有效</w:t>
      </w:r>
      <w:r>
        <w:rPr>
          <w:rFonts w:ascii="宋体" w:hAnsi="宋体"/>
          <w:sz w:val="24"/>
          <w:szCs w:val="24"/>
        </w:rPr>
        <w:t>减少损伤，尤其是</w:t>
      </w:r>
      <w:r>
        <w:rPr>
          <w:rFonts w:ascii="宋体" w:hAnsi="宋体" w:hint="eastAsia"/>
          <w:sz w:val="24"/>
          <w:szCs w:val="24"/>
        </w:rPr>
        <w:t>减少</w:t>
      </w:r>
      <w:r>
        <w:rPr>
          <w:rFonts w:ascii="宋体" w:hAnsi="宋体"/>
          <w:sz w:val="24"/>
          <w:szCs w:val="24"/>
        </w:rPr>
        <w:t>高温</w:t>
      </w:r>
      <w:r>
        <w:rPr>
          <w:rFonts w:ascii="宋体" w:hAnsi="宋体" w:hint="eastAsia"/>
          <w:sz w:val="24"/>
          <w:szCs w:val="24"/>
        </w:rPr>
        <w:t>的</w:t>
      </w:r>
      <w:r>
        <w:rPr>
          <w:rFonts w:ascii="宋体" w:hAnsi="宋体"/>
          <w:sz w:val="24"/>
          <w:szCs w:val="24"/>
        </w:rPr>
        <w:t>影响；</w:t>
      </w:r>
      <w:r>
        <w:rPr>
          <w:rFonts w:ascii="宋体" w:hAnsi="宋体" w:hint="eastAsia"/>
          <w:sz w:val="24"/>
          <w:szCs w:val="24"/>
        </w:rPr>
        <w:t>该处理方式</w:t>
      </w:r>
      <w:r>
        <w:rPr>
          <w:rFonts w:ascii="宋体" w:hAnsi="宋体"/>
          <w:sz w:val="24"/>
          <w:szCs w:val="24"/>
        </w:rPr>
        <w:t>节能，</w:t>
      </w:r>
      <w:r>
        <w:rPr>
          <w:rFonts w:ascii="宋体" w:hAnsi="宋体" w:hint="eastAsia"/>
          <w:sz w:val="24"/>
          <w:szCs w:val="24"/>
        </w:rPr>
        <w:t>可以</w:t>
      </w:r>
      <w:r>
        <w:rPr>
          <w:rFonts w:ascii="宋体" w:hAnsi="宋体"/>
          <w:sz w:val="24"/>
          <w:szCs w:val="24"/>
        </w:rPr>
        <w:t>减少设备负担</w:t>
      </w:r>
      <w:r>
        <w:rPr>
          <w:rFonts w:ascii="宋体" w:hAnsi="宋体" w:hint="eastAsia"/>
          <w:sz w:val="24"/>
          <w:szCs w:val="24"/>
        </w:rPr>
        <w:t>。</w:t>
      </w:r>
    </w:p>
    <w:p w14:paraId="3AEF836C" w14:textId="77777777" w:rsidR="00946C2F" w:rsidRDefault="00000000">
      <w:pPr>
        <w:widowControl/>
        <w:spacing w:line="360" w:lineRule="auto"/>
        <w:ind w:firstLineChars="200" w:firstLine="480"/>
        <w:jc w:val="left"/>
        <w:rPr>
          <w:rFonts w:ascii="Times New Roman" w:hAnsi="Times New Roman"/>
          <w:color w:val="000000"/>
          <w:sz w:val="24"/>
          <w:szCs w:val="24"/>
        </w:rPr>
      </w:pPr>
      <w:r>
        <w:rPr>
          <w:rFonts w:ascii="宋体" w:hAnsi="宋体" w:hint="eastAsia"/>
          <w:sz w:val="24"/>
          <w:szCs w:val="24"/>
        </w:rPr>
        <w:t>进一步地，所述的水包油包水乳液在4</w:t>
      </w:r>
      <w:r>
        <w:rPr>
          <w:rFonts w:ascii="宋体" w:hAnsi="宋体"/>
          <w:sz w:val="24"/>
          <w:szCs w:val="24"/>
        </w:rPr>
        <w:t>℃</w:t>
      </w:r>
      <w:r>
        <w:rPr>
          <w:rFonts w:ascii="宋体" w:hAnsi="宋体" w:hint="eastAsia"/>
          <w:sz w:val="24"/>
          <w:szCs w:val="24"/>
        </w:rPr>
        <w:t>保存。</w:t>
      </w:r>
    </w:p>
    <w:p w14:paraId="119192BD" w14:textId="77777777" w:rsidR="00946C2F" w:rsidRDefault="00000000">
      <w:pPr>
        <w:adjustRightInd w:val="0"/>
        <w:snapToGrid w:val="0"/>
        <w:spacing w:line="360" w:lineRule="auto"/>
        <w:ind w:firstLineChars="200" w:firstLine="480"/>
        <w:rPr>
          <w:rFonts w:ascii="Times New Roman" w:hAnsi="Times New Roman"/>
          <w:color w:val="000000"/>
          <w:sz w:val="24"/>
          <w:szCs w:val="24"/>
        </w:rPr>
      </w:pPr>
      <w:r>
        <w:rPr>
          <w:rFonts w:ascii="Times New Roman" w:hAnsi="Times New Roman" w:hint="eastAsia"/>
          <w:color w:val="000000"/>
          <w:sz w:val="24"/>
          <w:szCs w:val="24"/>
        </w:rPr>
        <w:t>第三个方面，本发明提供上述第一个方面所述的</w:t>
      </w:r>
      <w:r>
        <w:rPr>
          <w:rFonts w:ascii="Times New Roman" w:hAnsi="Times New Roman" w:hint="eastAsia"/>
          <w:kern w:val="28"/>
          <w:sz w:val="24"/>
          <w:szCs w:val="24"/>
        </w:rPr>
        <w:t>复合乳液</w:t>
      </w:r>
      <w:r>
        <w:rPr>
          <w:rFonts w:ascii="Times New Roman" w:hAnsi="Times New Roman" w:hint="eastAsia"/>
          <w:color w:val="000000"/>
          <w:sz w:val="24"/>
          <w:szCs w:val="24"/>
        </w:rPr>
        <w:t>在制备食品或者化妆品中的应用。</w:t>
      </w:r>
    </w:p>
    <w:p w14:paraId="18B72199" w14:textId="77777777" w:rsidR="00946C2F" w:rsidRDefault="00000000">
      <w:pPr>
        <w:adjustRightInd w:val="0"/>
        <w:snapToGrid w:val="0"/>
        <w:spacing w:line="360" w:lineRule="auto"/>
        <w:ind w:firstLineChars="200" w:firstLine="480"/>
        <w:rPr>
          <w:rFonts w:ascii="宋体" w:hAnsi="宋体" w:hint="eastAsia"/>
          <w:sz w:val="24"/>
          <w:szCs w:val="24"/>
        </w:rPr>
      </w:pPr>
      <w:r>
        <w:rPr>
          <w:rFonts w:ascii="Times New Roman" w:hAnsi="Times New Roman" w:hint="eastAsia"/>
          <w:color w:val="000000"/>
          <w:sz w:val="24"/>
          <w:szCs w:val="24"/>
        </w:rPr>
        <w:t>进一步地，所述食品为奶制品和冰淇淋；所述化妆品为保湿乳。</w:t>
      </w:r>
    </w:p>
    <w:p w14:paraId="4490A241" w14:textId="77777777" w:rsidR="00946C2F" w:rsidRDefault="00000000">
      <w:pPr>
        <w:adjustRightInd w:val="0"/>
        <w:snapToGrid w:val="0"/>
        <w:spacing w:line="360" w:lineRule="auto"/>
        <w:ind w:firstLineChars="200" w:firstLine="480"/>
        <w:rPr>
          <w:rFonts w:ascii="Times New Roman" w:hAnsi="Times New Roman"/>
          <w:color w:val="000000"/>
          <w:sz w:val="24"/>
          <w:szCs w:val="24"/>
        </w:rPr>
      </w:pPr>
      <w:r>
        <w:rPr>
          <w:rStyle w:val="fontstyle01"/>
          <w:rFonts w:ascii="Times New Roman" w:hAnsi="Times New Roman"/>
        </w:rPr>
        <w:t>本发明</w:t>
      </w:r>
      <w:r>
        <w:rPr>
          <w:rStyle w:val="fontstyle01"/>
          <w:rFonts w:ascii="Times New Roman" w:hAnsi="Times New Roman" w:hint="eastAsia"/>
        </w:rPr>
        <w:t>所具有</w:t>
      </w:r>
      <w:r>
        <w:rPr>
          <w:rStyle w:val="fontstyle01"/>
          <w:rFonts w:ascii="Times New Roman" w:hAnsi="Times New Roman"/>
        </w:rPr>
        <w:t>的</w:t>
      </w:r>
      <w:r>
        <w:rPr>
          <w:rStyle w:val="fontstyle01"/>
          <w:rFonts w:ascii="Times New Roman" w:hAnsi="Times New Roman" w:hint="eastAsia"/>
        </w:rPr>
        <w:t>优点和</w:t>
      </w:r>
      <w:r>
        <w:rPr>
          <w:rStyle w:val="fontstyle01"/>
          <w:rFonts w:ascii="Times New Roman" w:hAnsi="Times New Roman"/>
        </w:rPr>
        <w:t>有益效果是：</w:t>
      </w:r>
    </w:p>
    <w:p w14:paraId="7BAD6FE0" w14:textId="77777777" w:rsidR="00946C2F" w:rsidRDefault="00000000">
      <w:pPr>
        <w:spacing w:line="360" w:lineRule="auto"/>
        <w:ind w:firstLine="482"/>
        <w:rPr>
          <w:rFonts w:ascii="Times New Roman" w:hAnsi="Times New Roman"/>
          <w:kern w:val="28"/>
          <w:sz w:val="24"/>
          <w:szCs w:val="24"/>
        </w:rPr>
      </w:pPr>
      <w:r>
        <w:rPr>
          <w:rFonts w:ascii="Times New Roman" w:hAnsi="Times New Roman" w:hint="eastAsia"/>
          <w:color w:val="000000"/>
          <w:sz w:val="24"/>
          <w:szCs w:val="24"/>
        </w:rPr>
        <w:t>1</w:t>
      </w:r>
      <w:r>
        <w:rPr>
          <w:rFonts w:ascii="Times New Roman" w:hAnsi="Times New Roman" w:hint="eastAsia"/>
          <w:color w:val="000000"/>
          <w:sz w:val="24"/>
          <w:szCs w:val="24"/>
        </w:rPr>
        <w:t>．本发明是将绿原酸包埋于双重乳液体系中，</w:t>
      </w:r>
      <w:r>
        <w:rPr>
          <w:rFonts w:ascii="宋体" w:hAnsi="宋体" w:cs="宋体" w:hint="eastAsia"/>
          <w:color w:val="060607"/>
          <w:kern w:val="0"/>
          <w:sz w:val="24"/>
          <w:szCs w:val="24"/>
        </w:rPr>
        <w:t>与单一的乳液相比，</w:t>
      </w:r>
      <w:r>
        <w:rPr>
          <w:rFonts w:ascii="Times New Roman" w:hAnsi="Times New Roman" w:hint="eastAsia"/>
          <w:color w:val="000000"/>
          <w:sz w:val="24"/>
          <w:szCs w:val="24"/>
        </w:rPr>
        <w:t>双重乳液体系更能提高绿原酸稳定性和抗氧化性，更能提高绿原酸的环境耐受性和胃肠耐受性，并且能增强绿原酸的生物利用度和耐胃酸型，达到肠道靶向释放定植的目的。本发明的乳液在外水相由牛乳清蛋白</w:t>
      </w:r>
      <w:proofErr w:type="gramStart"/>
      <w:r>
        <w:rPr>
          <w:rFonts w:ascii="Times New Roman" w:hAnsi="Times New Roman" w:hint="eastAsia"/>
          <w:color w:val="000000"/>
          <w:sz w:val="24"/>
          <w:szCs w:val="24"/>
        </w:rPr>
        <w:t>和高酯果胶</w:t>
      </w:r>
      <w:proofErr w:type="gramEnd"/>
      <w:r>
        <w:rPr>
          <w:rFonts w:ascii="Times New Roman" w:hAnsi="Times New Roman" w:hint="eastAsia"/>
          <w:color w:val="000000"/>
          <w:sz w:val="24"/>
          <w:szCs w:val="24"/>
        </w:rPr>
        <w:t>配置而成，有利于提高绿原酸的包封率，</w:t>
      </w:r>
      <w:r>
        <w:rPr>
          <w:rFonts w:ascii="Times New Roman" w:hAnsi="Times New Roman" w:hint="eastAsia"/>
          <w:kern w:val="28"/>
          <w:sz w:val="24"/>
          <w:szCs w:val="24"/>
        </w:rPr>
        <w:t>牛乳清蛋白粉溶液</w:t>
      </w:r>
      <w:proofErr w:type="gramStart"/>
      <w:r>
        <w:rPr>
          <w:rFonts w:ascii="Times New Roman" w:hAnsi="Times New Roman" w:hint="eastAsia"/>
          <w:kern w:val="28"/>
          <w:sz w:val="24"/>
          <w:szCs w:val="24"/>
        </w:rPr>
        <w:t>与高酯果胶</w:t>
      </w:r>
      <w:proofErr w:type="gramEnd"/>
      <w:r>
        <w:rPr>
          <w:rFonts w:ascii="Times New Roman" w:hAnsi="Times New Roman" w:hint="eastAsia"/>
          <w:kern w:val="28"/>
          <w:sz w:val="24"/>
          <w:szCs w:val="24"/>
        </w:rPr>
        <w:t>粉溶液体积比为</w:t>
      </w:r>
      <w:r>
        <w:rPr>
          <w:rFonts w:ascii="Times New Roman" w:hAnsi="Times New Roman"/>
          <w:kern w:val="28"/>
          <w:sz w:val="24"/>
          <w:szCs w:val="24"/>
        </w:rPr>
        <w:t>1:5</w:t>
      </w:r>
      <w:r>
        <w:rPr>
          <w:rFonts w:ascii="Times New Roman" w:hAnsi="Times New Roman" w:hint="eastAsia"/>
          <w:kern w:val="28"/>
          <w:sz w:val="24"/>
          <w:szCs w:val="24"/>
        </w:rPr>
        <w:t>的水包油包水型绿原酸复合乳液包埋率最高，为</w:t>
      </w:r>
      <w:r>
        <w:rPr>
          <w:rFonts w:ascii="Times New Roman" w:hAnsi="Times New Roman"/>
          <w:kern w:val="28"/>
          <w:sz w:val="24"/>
          <w:szCs w:val="24"/>
        </w:rPr>
        <w:t>94.52</w:t>
      </w:r>
      <w:r>
        <w:rPr>
          <w:rFonts w:ascii="Times New Roman" w:hAnsi="Times New Roman" w:hint="eastAsia"/>
          <w:kern w:val="28"/>
          <w:sz w:val="24"/>
          <w:szCs w:val="24"/>
        </w:rPr>
        <w:t>％，对</w:t>
      </w:r>
      <w:r>
        <w:rPr>
          <w:rFonts w:ascii="Times New Roman" w:hAnsi="Times New Roman"/>
          <w:kern w:val="28"/>
          <w:sz w:val="24"/>
          <w:szCs w:val="24"/>
        </w:rPr>
        <w:t>DPPH</w:t>
      </w:r>
      <w:r>
        <w:rPr>
          <w:rFonts w:ascii="Times New Roman" w:hAnsi="Times New Roman" w:hint="eastAsia"/>
          <w:kern w:val="28"/>
          <w:sz w:val="24"/>
          <w:szCs w:val="24"/>
        </w:rPr>
        <w:t>自由基清除</w:t>
      </w:r>
      <w:proofErr w:type="gramStart"/>
      <w:r>
        <w:rPr>
          <w:rFonts w:ascii="Times New Roman" w:hAnsi="Times New Roman" w:hint="eastAsia"/>
          <w:kern w:val="28"/>
          <w:sz w:val="24"/>
          <w:szCs w:val="24"/>
        </w:rPr>
        <w:t>活性是</w:t>
      </w:r>
      <w:proofErr w:type="gramEnd"/>
      <w:r>
        <w:rPr>
          <w:rFonts w:ascii="Times New Roman" w:hAnsi="Times New Roman" w:hint="eastAsia"/>
          <w:kern w:val="28"/>
          <w:sz w:val="24"/>
          <w:szCs w:val="24"/>
        </w:rPr>
        <w:t>等浓度绿原酸单体的</w:t>
      </w:r>
      <w:r>
        <w:rPr>
          <w:rFonts w:ascii="Times New Roman" w:hAnsi="Times New Roman"/>
          <w:kern w:val="28"/>
          <w:sz w:val="24"/>
          <w:szCs w:val="24"/>
        </w:rPr>
        <w:t>1.59</w:t>
      </w:r>
      <w:r>
        <w:rPr>
          <w:rFonts w:ascii="Times New Roman" w:hAnsi="Times New Roman" w:hint="eastAsia"/>
          <w:kern w:val="28"/>
          <w:sz w:val="24"/>
          <w:szCs w:val="24"/>
        </w:rPr>
        <w:t>倍。</w:t>
      </w:r>
      <w:r>
        <w:rPr>
          <w:rFonts w:ascii="Times New Roman" w:hAnsi="Times New Roman" w:hint="eastAsia"/>
          <w:color w:val="000000"/>
          <w:sz w:val="24"/>
          <w:szCs w:val="24"/>
        </w:rPr>
        <w:t>同时在体内也可更有效抵抗胃酸的侵蚀，</w:t>
      </w:r>
      <w:proofErr w:type="gramStart"/>
      <w:r>
        <w:rPr>
          <w:rFonts w:ascii="Times New Roman" w:hAnsi="Times New Roman" w:hint="eastAsia"/>
          <w:color w:val="000000"/>
          <w:sz w:val="24"/>
          <w:szCs w:val="24"/>
        </w:rPr>
        <w:t>使较高</w:t>
      </w:r>
      <w:proofErr w:type="gramEnd"/>
      <w:r>
        <w:rPr>
          <w:rFonts w:ascii="Times New Roman" w:hAnsi="Times New Roman" w:hint="eastAsia"/>
          <w:color w:val="000000"/>
          <w:sz w:val="24"/>
          <w:szCs w:val="24"/>
        </w:rPr>
        <w:t>含量的绿原酸到达肠道内定植从而发挥抗炎活性。</w:t>
      </w:r>
      <w:r>
        <w:rPr>
          <w:rFonts w:ascii="Times New Roman" w:hAnsi="Times New Roman" w:hint="eastAsia"/>
          <w:kern w:val="28"/>
          <w:sz w:val="24"/>
          <w:szCs w:val="24"/>
        </w:rPr>
        <w:t>在动态体外消化实验中，牛乳清蛋白粉溶液</w:t>
      </w:r>
      <w:proofErr w:type="gramStart"/>
      <w:r>
        <w:rPr>
          <w:rFonts w:ascii="Times New Roman" w:hAnsi="Times New Roman" w:hint="eastAsia"/>
          <w:kern w:val="28"/>
          <w:sz w:val="24"/>
          <w:szCs w:val="24"/>
        </w:rPr>
        <w:t>与高酯果胶</w:t>
      </w:r>
      <w:proofErr w:type="gramEnd"/>
      <w:r>
        <w:rPr>
          <w:rFonts w:ascii="Times New Roman" w:hAnsi="Times New Roman" w:hint="eastAsia"/>
          <w:kern w:val="28"/>
          <w:sz w:val="24"/>
          <w:szCs w:val="24"/>
        </w:rPr>
        <w:t>粉溶液体积比为</w:t>
      </w:r>
      <w:r>
        <w:rPr>
          <w:rFonts w:ascii="Times New Roman" w:hAnsi="Times New Roman"/>
          <w:kern w:val="28"/>
          <w:sz w:val="24"/>
          <w:szCs w:val="24"/>
        </w:rPr>
        <w:t>1:5</w:t>
      </w:r>
      <w:r>
        <w:rPr>
          <w:rFonts w:ascii="Times New Roman" w:hAnsi="Times New Roman" w:hint="eastAsia"/>
          <w:kern w:val="28"/>
          <w:sz w:val="24"/>
          <w:szCs w:val="24"/>
        </w:rPr>
        <w:t>的水包油包水型绿原酸复合乳液胃排空率最低，胃内粘度高，蛋白质消化率最低，单独胃消化</w:t>
      </w:r>
      <w:r>
        <w:rPr>
          <w:rFonts w:ascii="Times New Roman" w:hAnsi="Times New Roman"/>
          <w:kern w:val="28"/>
          <w:sz w:val="24"/>
          <w:szCs w:val="24"/>
        </w:rPr>
        <w:t>90 min</w:t>
      </w:r>
      <w:r>
        <w:rPr>
          <w:rFonts w:ascii="Times New Roman" w:hAnsi="Times New Roman" w:hint="eastAsia"/>
          <w:kern w:val="28"/>
          <w:sz w:val="24"/>
          <w:szCs w:val="24"/>
        </w:rPr>
        <w:t>后保留率为</w:t>
      </w:r>
      <w:r>
        <w:rPr>
          <w:rFonts w:ascii="Times New Roman" w:hAnsi="Times New Roman"/>
          <w:kern w:val="28"/>
          <w:sz w:val="24"/>
          <w:szCs w:val="24"/>
        </w:rPr>
        <w:t>9.9%</w:t>
      </w:r>
      <w:r>
        <w:rPr>
          <w:rFonts w:ascii="Times New Roman" w:hAnsi="Times New Roman" w:hint="eastAsia"/>
          <w:kern w:val="28"/>
          <w:sz w:val="24"/>
          <w:szCs w:val="24"/>
        </w:rPr>
        <w:t>。</w:t>
      </w:r>
    </w:p>
    <w:p w14:paraId="47A9E387" w14:textId="77777777" w:rsidR="00946C2F" w:rsidRDefault="00000000">
      <w:pPr>
        <w:adjustRightInd w:val="0"/>
        <w:snapToGrid w:val="0"/>
        <w:spacing w:line="360" w:lineRule="auto"/>
        <w:ind w:firstLineChars="200" w:firstLine="480"/>
        <w:rPr>
          <w:rFonts w:ascii="宋体" w:hAnsi="宋体" w:cs="宋体" w:hint="eastAsia"/>
          <w:color w:val="060607"/>
          <w:kern w:val="0"/>
          <w:sz w:val="24"/>
          <w:szCs w:val="24"/>
        </w:rPr>
      </w:pPr>
      <w:r>
        <w:rPr>
          <w:rFonts w:ascii="Times New Roman" w:hAnsi="Times New Roman" w:hint="eastAsia"/>
          <w:color w:val="000000"/>
          <w:sz w:val="24"/>
          <w:szCs w:val="24"/>
        </w:rPr>
        <w:t>2.</w:t>
      </w:r>
      <w:r>
        <w:rPr>
          <w:rFonts w:ascii="Times New Roman" w:hAnsi="Times New Roman" w:hint="eastAsia"/>
          <w:color w:val="000000"/>
          <w:sz w:val="24"/>
          <w:szCs w:val="24"/>
        </w:rPr>
        <w:t>本发明基于“两步法”制备的</w:t>
      </w:r>
      <w:r>
        <w:rPr>
          <w:rFonts w:ascii="Times New Roman" w:hAnsi="Times New Roman" w:hint="eastAsia"/>
          <w:color w:val="000000"/>
          <w:sz w:val="24"/>
          <w:szCs w:val="24"/>
        </w:rPr>
        <w:t>W/O/W</w:t>
      </w:r>
      <w:r>
        <w:rPr>
          <w:rFonts w:ascii="Times New Roman" w:hAnsi="Times New Roman" w:hint="eastAsia"/>
          <w:color w:val="000000"/>
          <w:sz w:val="24"/>
          <w:szCs w:val="24"/>
        </w:rPr>
        <w:t>双重乳液对绿原酸实现了高效负载递送，产品不需要进行冷冻干燥，且制得的产品负载绿原酸的有效浓度高；多种复合乳液结构有助于提高绿原酸抵御胃酸的破坏作用，从而提高生物利用率，实现绿原酸的肠道靶向输送。所制得的产品可以直接应用于保湿乳、咖啡、乳饮料等各</w:t>
      </w:r>
      <w:proofErr w:type="gramStart"/>
      <w:r>
        <w:rPr>
          <w:rFonts w:ascii="Times New Roman" w:hAnsi="Times New Roman" w:hint="eastAsia"/>
          <w:color w:val="000000"/>
          <w:sz w:val="24"/>
          <w:szCs w:val="24"/>
        </w:rPr>
        <w:t>类湿态食品</w:t>
      </w:r>
      <w:proofErr w:type="gramEnd"/>
      <w:r>
        <w:rPr>
          <w:rFonts w:ascii="Times New Roman" w:hAnsi="Times New Roman" w:hint="eastAsia"/>
          <w:color w:val="000000"/>
          <w:sz w:val="24"/>
          <w:szCs w:val="24"/>
        </w:rPr>
        <w:t>中，具有良好的经济效益和市场前景。</w:t>
      </w:r>
    </w:p>
    <w:p w14:paraId="5B8A9552" w14:textId="77777777" w:rsidR="00946C2F" w:rsidRDefault="00000000">
      <w:pPr>
        <w:adjustRightInd w:val="0"/>
        <w:snapToGrid w:val="0"/>
        <w:spacing w:line="360" w:lineRule="auto"/>
        <w:ind w:firstLineChars="200" w:firstLine="480"/>
        <w:rPr>
          <w:rFonts w:ascii="Times New Roman" w:hAnsi="Times New Roman"/>
          <w:color w:val="000000"/>
          <w:sz w:val="24"/>
          <w:szCs w:val="24"/>
        </w:rPr>
      </w:pPr>
      <w:r>
        <w:rPr>
          <w:rFonts w:ascii="Times New Roman" w:hAnsi="Times New Roman" w:hint="eastAsia"/>
          <w:color w:val="000000"/>
          <w:sz w:val="24"/>
          <w:szCs w:val="24"/>
        </w:rPr>
        <w:t>3.</w:t>
      </w:r>
      <w:r>
        <w:rPr>
          <w:rFonts w:ascii="Times New Roman" w:hAnsi="Times New Roman" w:hint="eastAsia"/>
          <w:color w:val="000000"/>
          <w:sz w:val="24"/>
          <w:szCs w:val="24"/>
        </w:rPr>
        <w:t>本发明方法采用“三相两膜（</w:t>
      </w:r>
      <w:r>
        <w:rPr>
          <w:rFonts w:ascii="Times New Roman" w:hAnsi="Times New Roman"/>
          <w:color w:val="000000"/>
          <w:sz w:val="24"/>
          <w:szCs w:val="24"/>
        </w:rPr>
        <w:t>内水相，油相，外水相</w:t>
      </w:r>
      <w:r>
        <w:rPr>
          <w:rFonts w:ascii="Times New Roman" w:hAnsi="Times New Roman" w:hint="eastAsia"/>
          <w:color w:val="000000"/>
          <w:sz w:val="24"/>
          <w:szCs w:val="24"/>
        </w:rPr>
        <w:t>、</w:t>
      </w:r>
      <w:r>
        <w:rPr>
          <w:rFonts w:ascii="Times New Roman" w:hAnsi="Times New Roman"/>
          <w:color w:val="000000"/>
          <w:sz w:val="24"/>
          <w:szCs w:val="24"/>
        </w:rPr>
        <w:t>油相膜</w:t>
      </w:r>
      <w:r>
        <w:rPr>
          <w:rFonts w:ascii="Times New Roman" w:hAnsi="Times New Roman" w:hint="eastAsia"/>
          <w:color w:val="000000"/>
          <w:sz w:val="24"/>
          <w:szCs w:val="24"/>
        </w:rPr>
        <w:t>、</w:t>
      </w:r>
      <w:r>
        <w:rPr>
          <w:rFonts w:ascii="Times New Roman" w:hAnsi="Times New Roman"/>
          <w:color w:val="000000"/>
          <w:sz w:val="24"/>
          <w:szCs w:val="24"/>
        </w:rPr>
        <w:t>外水相膜</w:t>
      </w:r>
      <w:r>
        <w:rPr>
          <w:rFonts w:ascii="Times New Roman" w:hAnsi="Times New Roman" w:hint="eastAsia"/>
          <w:color w:val="000000"/>
          <w:sz w:val="24"/>
          <w:szCs w:val="24"/>
        </w:rPr>
        <w:t>）”多重隔室化结构包封绿原酸，可有效隔绝外界温度和光对绿原酸的影响，维持绿原酸的稳定性和活性。本发明方法所制得的产品中绿原酸的包封率最高为</w:t>
      </w:r>
      <w:r>
        <w:rPr>
          <w:rFonts w:ascii="Times New Roman" w:hAnsi="Times New Roman" w:hint="eastAsia"/>
          <w:color w:val="000000"/>
          <w:sz w:val="24"/>
          <w:szCs w:val="24"/>
        </w:rPr>
        <w:t>94.52</w:t>
      </w:r>
      <w:r>
        <w:rPr>
          <w:rFonts w:ascii="Times New Roman" w:hAnsi="Times New Roman" w:hint="eastAsia"/>
          <w:color w:val="000000"/>
          <w:sz w:val="24"/>
          <w:szCs w:val="24"/>
        </w:rPr>
        <w:t>％，可直接应用于湿基食品中，且制作方法易操作，便于推广应用。</w:t>
      </w:r>
    </w:p>
    <w:p w14:paraId="6E8F5E7A" w14:textId="77777777" w:rsidR="00946C2F" w:rsidRDefault="00000000">
      <w:pPr>
        <w:adjustRightInd w:val="0"/>
        <w:snapToGrid w:val="0"/>
        <w:spacing w:line="360" w:lineRule="auto"/>
        <w:ind w:firstLineChars="200" w:firstLine="480"/>
        <w:rPr>
          <w:rStyle w:val="fontstyle01"/>
          <w:rFonts w:ascii="Times New Roman" w:hAnsi="Times New Roman"/>
        </w:rPr>
      </w:pPr>
      <w:r>
        <w:rPr>
          <w:rFonts w:ascii="Times New Roman" w:hAnsi="Times New Roman" w:hint="eastAsia"/>
          <w:color w:val="000000"/>
          <w:sz w:val="24"/>
          <w:szCs w:val="24"/>
        </w:rPr>
        <w:t>4.</w:t>
      </w:r>
      <w:r>
        <w:rPr>
          <w:rFonts w:ascii="Times New Roman" w:hAnsi="Times New Roman" w:hint="eastAsia"/>
          <w:color w:val="000000"/>
          <w:sz w:val="24"/>
          <w:szCs w:val="24"/>
        </w:rPr>
        <w:t>本发明方法采用乳化技术、均一化技术制备负载绿原酸的乳剂型产品，可直接应用于湿</w:t>
      </w:r>
      <w:proofErr w:type="gramStart"/>
      <w:r>
        <w:rPr>
          <w:rFonts w:ascii="Times New Roman" w:hAnsi="Times New Roman" w:hint="eastAsia"/>
          <w:color w:val="000000"/>
          <w:sz w:val="24"/>
          <w:szCs w:val="24"/>
        </w:rPr>
        <w:t>态食品</w:t>
      </w:r>
      <w:proofErr w:type="gramEnd"/>
      <w:r>
        <w:rPr>
          <w:rFonts w:ascii="Times New Roman" w:hAnsi="Times New Roman" w:hint="eastAsia"/>
          <w:color w:val="000000"/>
          <w:sz w:val="24"/>
          <w:szCs w:val="24"/>
        </w:rPr>
        <w:t>环境和化妆品中，如保湿乳、奶制品和冰淇淋等制品。</w:t>
      </w:r>
    </w:p>
    <w:p w14:paraId="0D28598C" w14:textId="77777777" w:rsidR="00946C2F" w:rsidRDefault="00000000">
      <w:pPr>
        <w:autoSpaceDE w:val="0"/>
        <w:autoSpaceDN w:val="0"/>
        <w:spacing w:line="360" w:lineRule="auto"/>
        <w:rPr>
          <w:rFonts w:ascii="Times New Roman" w:hAnsi="Times New Roman"/>
          <w:b/>
          <w:sz w:val="24"/>
          <w:szCs w:val="24"/>
        </w:rPr>
      </w:pPr>
      <w:r>
        <w:rPr>
          <w:rFonts w:ascii="Times New Roman" w:hAnsi="Times New Roman" w:hint="eastAsia"/>
          <w:b/>
          <w:sz w:val="24"/>
          <w:szCs w:val="24"/>
        </w:rPr>
        <w:t>附图说明</w:t>
      </w:r>
    </w:p>
    <w:p w14:paraId="600000A3" w14:textId="77777777" w:rsidR="00946C2F" w:rsidRDefault="00000000">
      <w:pPr>
        <w:autoSpaceDE w:val="0"/>
        <w:autoSpaceDN w:val="0"/>
        <w:spacing w:line="360" w:lineRule="auto"/>
        <w:ind w:firstLineChars="200" w:firstLine="480"/>
        <w:rPr>
          <w:rFonts w:ascii="Times New Roman" w:hAnsi="Times New Roman"/>
          <w:bCs/>
          <w:i/>
          <w:sz w:val="24"/>
          <w:szCs w:val="24"/>
        </w:rPr>
      </w:pPr>
      <w:r>
        <w:rPr>
          <w:rFonts w:ascii="Times New Roman" w:hAnsi="Times New Roman" w:hint="eastAsia"/>
          <w:bCs/>
          <w:iCs/>
          <w:sz w:val="24"/>
          <w:szCs w:val="24"/>
        </w:rPr>
        <w:t>图</w:t>
      </w:r>
      <w:r>
        <w:rPr>
          <w:rFonts w:ascii="Times New Roman" w:hAnsi="Times New Roman" w:hint="eastAsia"/>
          <w:bCs/>
          <w:iCs/>
          <w:sz w:val="24"/>
          <w:szCs w:val="24"/>
        </w:rPr>
        <w:t>1</w:t>
      </w:r>
      <w:r>
        <w:rPr>
          <w:rFonts w:ascii="Times New Roman" w:hAnsi="Times New Roman" w:hint="eastAsia"/>
          <w:bCs/>
          <w:iCs/>
          <w:sz w:val="24"/>
          <w:szCs w:val="24"/>
        </w:rPr>
        <w:t>是实施例</w:t>
      </w:r>
      <w:r>
        <w:rPr>
          <w:rFonts w:ascii="Times New Roman" w:hAnsi="Times New Roman" w:hint="eastAsia"/>
          <w:bCs/>
          <w:iCs/>
          <w:sz w:val="24"/>
          <w:szCs w:val="24"/>
        </w:rPr>
        <w:t>1</w:t>
      </w:r>
      <w:r>
        <w:rPr>
          <w:rFonts w:ascii="Times New Roman" w:hAnsi="Times New Roman" w:hint="eastAsia"/>
          <w:bCs/>
          <w:iCs/>
          <w:sz w:val="24"/>
          <w:szCs w:val="24"/>
        </w:rPr>
        <w:t>中由不同比例</w:t>
      </w:r>
      <w:r>
        <w:rPr>
          <w:rFonts w:ascii="Times New Roman" w:hAnsi="Times New Roman" w:hint="eastAsia"/>
          <w:bCs/>
          <w:iCs/>
          <w:sz w:val="24"/>
          <w:szCs w:val="24"/>
        </w:rPr>
        <w:t>BWP/PEC</w:t>
      </w:r>
      <w:r>
        <w:rPr>
          <w:rFonts w:ascii="Times New Roman" w:hAnsi="Times New Roman" w:hint="eastAsia"/>
          <w:bCs/>
          <w:iCs/>
          <w:sz w:val="24"/>
          <w:szCs w:val="24"/>
        </w:rPr>
        <w:t>复合物的傅里叶红外光谱、接枝度和外观图片；其中</w:t>
      </w:r>
      <w:r>
        <w:rPr>
          <w:rFonts w:ascii="Times New Roman" w:hAnsi="Times New Roman" w:hint="eastAsia"/>
          <w:bCs/>
          <w:iCs/>
          <w:sz w:val="24"/>
          <w:szCs w:val="24"/>
        </w:rPr>
        <w:t>a</w:t>
      </w:r>
      <w:r>
        <w:rPr>
          <w:rFonts w:ascii="Times New Roman" w:hAnsi="Times New Roman" w:hint="eastAsia"/>
          <w:bCs/>
          <w:iCs/>
          <w:sz w:val="24"/>
          <w:szCs w:val="24"/>
        </w:rPr>
        <w:t>为傅里叶红外光谱图，</w:t>
      </w:r>
      <w:r>
        <w:rPr>
          <w:rFonts w:ascii="Times New Roman" w:hAnsi="Times New Roman" w:hint="eastAsia"/>
          <w:bCs/>
          <w:iCs/>
          <w:sz w:val="24"/>
          <w:szCs w:val="24"/>
        </w:rPr>
        <w:t xml:space="preserve"> b</w:t>
      </w:r>
      <w:r>
        <w:rPr>
          <w:rFonts w:ascii="Times New Roman" w:hAnsi="Times New Roman" w:hint="eastAsia"/>
          <w:bCs/>
          <w:iCs/>
          <w:sz w:val="24"/>
          <w:szCs w:val="24"/>
        </w:rPr>
        <w:t>为接枝度，</w:t>
      </w:r>
      <w:r>
        <w:rPr>
          <w:rFonts w:ascii="Times New Roman" w:hAnsi="Times New Roman" w:hint="eastAsia"/>
          <w:bCs/>
          <w:iCs/>
          <w:sz w:val="24"/>
          <w:szCs w:val="24"/>
        </w:rPr>
        <w:t>c</w:t>
      </w:r>
      <w:r>
        <w:rPr>
          <w:rFonts w:ascii="Times New Roman" w:hAnsi="Times New Roman" w:hint="eastAsia"/>
          <w:bCs/>
          <w:iCs/>
          <w:sz w:val="24"/>
          <w:szCs w:val="24"/>
        </w:rPr>
        <w:t>为乳液外观图；</w:t>
      </w:r>
    </w:p>
    <w:p w14:paraId="7B255091"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hint="eastAsia"/>
          <w:bCs/>
          <w:iCs/>
          <w:sz w:val="24"/>
          <w:szCs w:val="24"/>
        </w:rPr>
        <w:t>图</w:t>
      </w:r>
      <w:r>
        <w:rPr>
          <w:rFonts w:ascii="Times New Roman" w:hAnsi="Times New Roman" w:hint="eastAsia"/>
          <w:bCs/>
          <w:iCs/>
          <w:sz w:val="24"/>
          <w:szCs w:val="24"/>
        </w:rPr>
        <w:t>2</w:t>
      </w:r>
      <w:r>
        <w:rPr>
          <w:rFonts w:ascii="Times New Roman" w:hAnsi="Times New Roman" w:hint="eastAsia"/>
          <w:bCs/>
          <w:iCs/>
          <w:sz w:val="24"/>
          <w:szCs w:val="24"/>
        </w:rPr>
        <w:t>是实施例</w:t>
      </w:r>
      <w:r>
        <w:rPr>
          <w:rFonts w:ascii="Times New Roman" w:hAnsi="Times New Roman" w:hint="eastAsia"/>
          <w:bCs/>
          <w:iCs/>
          <w:sz w:val="24"/>
          <w:szCs w:val="24"/>
        </w:rPr>
        <w:t>1</w:t>
      </w:r>
      <w:r>
        <w:rPr>
          <w:rFonts w:ascii="Times New Roman" w:hAnsi="Times New Roman" w:hint="eastAsia"/>
          <w:bCs/>
          <w:iCs/>
          <w:sz w:val="24"/>
          <w:szCs w:val="24"/>
        </w:rPr>
        <w:t>中不同比例</w:t>
      </w:r>
      <w:r>
        <w:rPr>
          <w:rFonts w:ascii="Times New Roman" w:hAnsi="Times New Roman" w:hint="eastAsia"/>
          <w:bCs/>
          <w:iCs/>
          <w:sz w:val="24"/>
          <w:szCs w:val="24"/>
        </w:rPr>
        <w:t>BWP/PEC</w:t>
      </w:r>
      <w:r>
        <w:rPr>
          <w:rFonts w:ascii="Times New Roman" w:hAnsi="Times New Roman" w:hint="eastAsia"/>
          <w:bCs/>
          <w:iCs/>
          <w:sz w:val="24"/>
          <w:szCs w:val="24"/>
        </w:rPr>
        <w:t>乳液的扫描电镜图；</w:t>
      </w:r>
    </w:p>
    <w:p w14:paraId="6190C555"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bCs/>
          <w:iCs/>
          <w:sz w:val="24"/>
          <w:szCs w:val="24"/>
        </w:rPr>
        <w:t>图</w:t>
      </w:r>
      <w:r>
        <w:rPr>
          <w:rFonts w:ascii="Times New Roman" w:hAnsi="Times New Roman" w:hint="eastAsia"/>
          <w:bCs/>
          <w:iCs/>
          <w:sz w:val="24"/>
          <w:szCs w:val="24"/>
        </w:rPr>
        <w:t>3</w:t>
      </w:r>
      <w:r>
        <w:rPr>
          <w:rFonts w:ascii="Times New Roman" w:hAnsi="Times New Roman"/>
          <w:bCs/>
          <w:iCs/>
          <w:sz w:val="24"/>
          <w:szCs w:val="24"/>
        </w:rPr>
        <w:t>是实施例</w:t>
      </w:r>
      <w:r>
        <w:rPr>
          <w:rFonts w:ascii="Times New Roman" w:hAnsi="Times New Roman"/>
          <w:bCs/>
          <w:iCs/>
          <w:sz w:val="24"/>
          <w:szCs w:val="24"/>
        </w:rPr>
        <w:t>1</w:t>
      </w:r>
      <w:r>
        <w:rPr>
          <w:rFonts w:ascii="Times New Roman" w:hAnsi="Times New Roman"/>
          <w:bCs/>
          <w:iCs/>
          <w:sz w:val="24"/>
          <w:szCs w:val="24"/>
        </w:rPr>
        <w:t>中不同</w:t>
      </w:r>
      <w:r>
        <w:rPr>
          <w:rFonts w:ascii="Times New Roman" w:hAnsi="Times New Roman" w:hint="eastAsia"/>
          <w:bCs/>
          <w:iCs/>
          <w:sz w:val="24"/>
          <w:szCs w:val="24"/>
        </w:rPr>
        <w:t>比例</w:t>
      </w:r>
      <w:r>
        <w:rPr>
          <w:rFonts w:ascii="Times New Roman" w:hAnsi="Times New Roman" w:hint="eastAsia"/>
          <w:bCs/>
          <w:iCs/>
          <w:sz w:val="24"/>
          <w:szCs w:val="24"/>
        </w:rPr>
        <w:t>BWP/PEC</w:t>
      </w:r>
      <w:r>
        <w:rPr>
          <w:rFonts w:ascii="Times New Roman" w:hAnsi="Times New Roman"/>
          <w:bCs/>
          <w:iCs/>
          <w:sz w:val="24"/>
          <w:szCs w:val="24"/>
        </w:rPr>
        <w:t>乳液</w:t>
      </w:r>
      <w:r>
        <w:rPr>
          <w:rFonts w:ascii="Times New Roman" w:hAnsi="Times New Roman" w:hint="eastAsia"/>
          <w:bCs/>
          <w:iCs/>
          <w:sz w:val="24"/>
          <w:szCs w:val="24"/>
        </w:rPr>
        <w:t>对绿原酸的包埋率；</w:t>
      </w:r>
    </w:p>
    <w:p w14:paraId="09EF350F"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bCs/>
          <w:iCs/>
          <w:sz w:val="24"/>
          <w:szCs w:val="24"/>
        </w:rPr>
        <w:t>图</w:t>
      </w:r>
      <w:r>
        <w:rPr>
          <w:rFonts w:ascii="Times New Roman" w:hAnsi="Times New Roman" w:hint="eastAsia"/>
          <w:bCs/>
          <w:iCs/>
          <w:sz w:val="24"/>
          <w:szCs w:val="24"/>
        </w:rPr>
        <w:t>4</w:t>
      </w:r>
      <w:r>
        <w:rPr>
          <w:rFonts w:ascii="Times New Roman" w:hAnsi="Times New Roman"/>
          <w:bCs/>
          <w:iCs/>
          <w:sz w:val="24"/>
          <w:szCs w:val="24"/>
        </w:rPr>
        <w:t>是实施例</w:t>
      </w:r>
      <w:r>
        <w:rPr>
          <w:rFonts w:ascii="Times New Roman" w:hAnsi="Times New Roman"/>
          <w:bCs/>
          <w:iCs/>
          <w:sz w:val="24"/>
          <w:szCs w:val="24"/>
        </w:rPr>
        <w:t>1</w:t>
      </w:r>
      <w:r>
        <w:rPr>
          <w:rFonts w:ascii="Times New Roman" w:hAnsi="Times New Roman"/>
          <w:bCs/>
          <w:iCs/>
          <w:sz w:val="24"/>
          <w:szCs w:val="24"/>
        </w:rPr>
        <w:t>中不同</w:t>
      </w:r>
      <w:r>
        <w:rPr>
          <w:rFonts w:ascii="Times New Roman" w:hAnsi="Times New Roman" w:hint="eastAsia"/>
          <w:bCs/>
          <w:iCs/>
          <w:sz w:val="24"/>
          <w:szCs w:val="24"/>
        </w:rPr>
        <w:t>比例</w:t>
      </w:r>
      <w:r>
        <w:rPr>
          <w:rFonts w:ascii="Times New Roman" w:hAnsi="Times New Roman" w:hint="eastAsia"/>
          <w:bCs/>
          <w:iCs/>
          <w:sz w:val="24"/>
          <w:szCs w:val="24"/>
        </w:rPr>
        <w:t>BWP/PEC</w:t>
      </w:r>
      <w:r>
        <w:rPr>
          <w:rFonts w:ascii="Times New Roman" w:hAnsi="Times New Roman"/>
          <w:bCs/>
          <w:iCs/>
          <w:sz w:val="24"/>
          <w:szCs w:val="24"/>
        </w:rPr>
        <w:t>乳液的流变特性：弹性模量随角频率变化曲线；</w:t>
      </w:r>
    </w:p>
    <w:p w14:paraId="38D3387F"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bCs/>
          <w:iCs/>
          <w:sz w:val="24"/>
          <w:szCs w:val="24"/>
        </w:rPr>
        <w:t>图</w:t>
      </w:r>
      <w:r>
        <w:rPr>
          <w:rFonts w:ascii="Times New Roman" w:hAnsi="Times New Roman" w:hint="eastAsia"/>
          <w:bCs/>
          <w:iCs/>
          <w:sz w:val="24"/>
          <w:szCs w:val="24"/>
        </w:rPr>
        <w:t>5</w:t>
      </w:r>
      <w:r>
        <w:rPr>
          <w:rFonts w:ascii="Times New Roman" w:hAnsi="Times New Roman"/>
          <w:bCs/>
          <w:iCs/>
          <w:sz w:val="24"/>
          <w:szCs w:val="24"/>
        </w:rPr>
        <w:t>是实施例</w:t>
      </w:r>
      <w:r>
        <w:rPr>
          <w:rFonts w:ascii="Times New Roman" w:hAnsi="Times New Roman"/>
          <w:bCs/>
          <w:iCs/>
          <w:sz w:val="24"/>
          <w:szCs w:val="24"/>
        </w:rPr>
        <w:t>1</w:t>
      </w:r>
      <w:r>
        <w:rPr>
          <w:rFonts w:ascii="Times New Roman" w:hAnsi="Times New Roman"/>
          <w:bCs/>
          <w:iCs/>
          <w:sz w:val="24"/>
          <w:szCs w:val="24"/>
        </w:rPr>
        <w:t>中不同</w:t>
      </w:r>
      <w:r>
        <w:rPr>
          <w:rFonts w:ascii="Times New Roman" w:hAnsi="Times New Roman" w:hint="eastAsia"/>
          <w:bCs/>
          <w:iCs/>
          <w:sz w:val="24"/>
          <w:szCs w:val="24"/>
        </w:rPr>
        <w:t>比例</w:t>
      </w:r>
      <w:r>
        <w:rPr>
          <w:rFonts w:ascii="Times New Roman" w:hAnsi="Times New Roman" w:hint="eastAsia"/>
          <w:bCs/>
          <w:iCs/>
          <w:sz w:val="24"/>
          <w:szCs w:val="24"/>
        </w:rPr>
        <w:t>BWP/PEC</w:t>
      </w:r>
      <w:r>
        <w:rPr>
          <w:rFonts w:ascii="Times New Roman" w:hAnsi="Times New Roman"/>
          <w:bCs/>
          <w:iCs/>
          <w:sz w:val="24"/>
          <w:szCs w:val="24"/>
        </w:rPr>
        <w:t>乳液的流变特性：表面粘度随剪切速率变化曲线；</w:t>
      </w:r>
    </w:p>
    <w:p w14:paraId="1A2B34E2"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hint="eastAsia"/>
          <w:bCs/>
          <w:iCs/>
          <w:sz w:val="24"/>
          <w:szCs w:val="24"/>
        </w:rPr>
        <w:t>图</w:t>
      </w:r>
      <w:r>
        <w:rPr>
          <w:rFonts w:ascii="Times New Roman" w:hAnsi="Times New Roman" w:hint="eastAsia"/>
          <w:bCs/>
          <w:iCs/>
          <w:sz w:val="24"/>
          <w:szCs w:val="24"/>
        </w:rPr>
        <w:t>6</w:t>
      </w:r>
      <w:r>
        <w:rPr>
          <w:rFonts w:ascii="Times New Roman" w:hAnsi="Times New Roman" w:hint="eastAsia"/>
          <w:bCs/>
          <w:iCs/>
          <w:sz w:val="24"/>
          <w:szCs w:val="24"/>
        </w:rPr>
        <w:t>是实施例</w:t>
      </w:r>
      <w:r>
        <w:rPr>
          <w:rFonts w:ascii="Times New Roman" w:hAnsi="Times New Roman" w:hint="eastAsia"/>
          <w:bCs/>
          <w:iCs/>
          <w:sz w:val="24"/>
          <w:szCs w:val="24"/>
        </w:rPr>
        <w:t>1</w:t>
      </w:r>
      <w:r>
        <w:rPr>
          <w:rFonts w:ascii="Times New Roman" w:hAnsi="Times New Roman" w:hint="eastAsia"/>
          <w:bCs/>
          <w:iCs/>
          <w:sz w:val="24"/>
          <w:szCs w:val="24"/>
        </w:rPr>
        <w:t>中不同比例</w:t>
      </w:r>
      <w:r>
        <w:rPr>
          <w:rFonts w:ascii="Times New Roman" w:hAnsi="Times New Roman" w:hint="eastAsia"/>
          <w:bCs/>
          <w:iCs/>
          <w:sz w:val="24"/>
          <w:szCs w:val="24"/>
        </w:rPr>
        <w:t>BWP/PEC</w:t>
      </w:r>
      <w:r>
        <w:rPr>
          <w:rFonts w:ascii="Times New Roman" w:hAnsi="Times New Roman" w:hint="eastAsia"/>
          <w:bCs/>
          <w:iCs/>
          <w:sz w:val="24"/>
          <w:szCs w:val="24"/>
        </w:rPr>
        <w:t>乳液的粒径和</w:t>
      </w:r>
      <w:r>
        <w:rPr>
          <w:rFonts w:ascii="Times New Roman" w:hAnsi="Times New Roman" w:hint="eastAsia"/>
          <w:bCs/>
          <w:iCs/>
          <w:sz w:val="24"/>
          <w:szCs w:val="24"/>
        </w:rPr>
        <w:t>Zeta</w:t>
      </w:r>
      <w:r>
        <w:rPr>
          <w:rFonts w:ascii="Times New Roman" w:hAnsi="Times New Roman" w:hint="eastAsia"/>
          <w:bCs/>
          <w:iCs/>
          <w:sz w:val="24"/>
          <w:szCs w:val="24"/>
        </w:rPr>
        <w:t>电位；其中</w:t>
      </w:r>
      <w:r>
        <w:rPr>
          <w:rFonts w:ascii="Times New Roman" w:hAnsi="Times New Roman" w:hint="eastAsia"/>
          <w:bCs/>
          <w:iCs/>
          <w:sz w:val="24"/>
          <w:szCs w:val="24"/>
        </w:rPr>
        <w:t>a</w:t>
      </w:r>
      <w:r>
        <w:rPr>
          <w:rFonts w:ascii="Times New Roman" w:hAnsi="Times New Roman" w:hint="eastAsia"/>
          <w:bCs/>
          <w:iCs/>
          <w:sz w:val="24"/>
          <w:szCs w:val="24"/>
        </w:rPr>
        <w:t>为粒径图；</w:t>
      </w:r>
      <w:r>
        <w:rPr>
          <w:rFonts w:ascii="Times New Roman" w:hAnsi="Times New Roman" w:hint="eastAsia"/>
          <w:bCs/>
          <w:iCs/>
          <w:sz w:val="24"/>
          <w:szCs w:val="24"/>
        </w:rPr>
        <w:t>b</w:t>
      </w:r>
      <w:r>
        <w:rPr>
          <w:rFonts w:ascii="Times New Roman" w:hAnsi="Times New Roman" w:hint="eastAsia"/>
          <w:bCs/>
          <w:iCs/>
          <w:sz w:val="24"/>
          <w:szCs w:val="24"/>
        </w:rPr>
        <w:t>为</w:t>
      </w:r>
      <w:r>
        <w:rPr>
          <w:rFonts w:ascii="Times New Roman" w:hAnsi="Times New Roman" w:hint="eastAsia"/>
          <w:bCs/>
          <w:iCs/>
          <w:sz w:val="24"/>
          <w:szCs w:val="24"/>
        </w:rPr>
        <w:t>Zeta</w:t>
      </w:r>
      <w:r>
        <w:rPr>
          <w:rFonts w:ascii="Times New Roman" w:hAnsi="Times New Roman" w:hint="eastAsia"/>
          <w:bCs/>
          <w:iCs/>
          <w:sz w:val="24"/>
          <w:szCs w:val="24"/>
        </w:rPr>
        <w:t>电位图；</w:t>
      </w:r>
      <w:r>
        <w:rPr>
          <w:rFonts w:ascii="Times New Roman" w:hAnsi="Times New Roman" w:hint="eastAsia"/>
          <w:bCs/>
          <w:iCs/>
          <w:sz w:val="24"/>
          <w:szCs w:val="24"/>
        </w:rPr>
        <w:t xml:space="preserve">  </w:t>
      </w:r>
    </w:p>
    <w:p w14:paraId="0698864A"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bCs/>
          <w:iCs/>
          <w:sz w:val="24"/>
          <w:szCs w:val="24"/>
        </w:rPr>
        <w:t>图</w:t>
      </w:r>
      <w:r>
        <w:rPr>
          <w:rFonts w:ascii="Times New Roman" w:hAnsi="Times New Roman" w:hint="eastAsia"/>
          <w:bCs/>
          <w:iCs/>
          <w:sz w:val="24"/>
          <w:szCs w:val="24"/>
        </w:rPr>
        <w:t>7</w:t>
      </w:r>
      <w:r>
        <w:rPr>
          <w:rFonts w:ascii="Times New Roman" w:hAnsi="Times New Roman"/>
          <w:bCs/>
          <w:iCs/>
          <w:sz w:val="24"/>
          <w:szCs w:val="24"/>
        </w:rPr>
        <w:t>是实施例</w:t>
      </w:r>
      <w:r>
        <w:rPr>
          <w:rFonts w:ascii="Times New Roman" w:hAnsi="Times New Roman"/>
          <w:bCs/>
          <w:iCs/>
          <w:sz w:val="24"/>
          <w:szCs w:val="24"/>
        </w:rPr>
        <w:t>1</w:t>
      </w:r>
      <w:r>
        <w:rPr>
          <w:rFonts w:ascii="Times New Roman" w:hAnsi="Times New Roman"/>
          <w:bCs/>
          <w:iCs/>
          <w:sz w:val="24"/>
          <w:szCs w:val="24"/>
        </w:rPr>
        <w:t>中不同</w:t>
      </w:r>
      <w:r>
        <w:rPr>
          <w:rFonts w:ascii="Times New Roman" w:hAnsi="Times New Roman" w:hint="eastAsia"/>
          <w:bCs/>
          <w:iCs/>
          <w:sz w:val="24"/>
          <w:szCs w:val="24"/>
        </w:rPr>
        <w:t>比例</w:t>
      </w:r>
      <w:r>
        <w:rPr>
          <w:rFonts w:ascii="Times New Roman" w:hAnsi="Times New Roman" w:hint="eastAsia"/>
          <w:bCs/>
          <w:iCs/>
          <w:sz w:val="24"/>
          <w:szCs w:val="24"/>
        </w:rPr>
        <w:t>BWP/PEC</w:t>
      </w:r>
      <w:r>
        <w:rPr>
          <w:rFonts w:ascii="Times New Roman" w:hAnsi="Times New Roman"/>
          <w:bCs/>
          <w:iCs/>
          <w:sz w:val="24"/>
          <w:szCs w:val="24"/>
        </w:rPr>
        <w:t>乳液的</w:t>
      </w:r>
      <w:r>
        <w:rPr>
          <w:rFonts w:ascii="Times New Roman" w:hAnsi="Times New Roman" w:hint="eastAsia"/>
          <w:bCs/>
          <w:iCs/>
          <w:sz w:val="24"/>
          <w:szCs w:val="24"/>
        </w:rPr>
        <w:t>抗氧化性分析</w:t>
      </w:r>
      <w:r>
        <w:rPr>
          <w:rFonts w:ascii="Times New Roman" w:hAnsi="Times New Roman"/>
          <w:bCs/>
          <w:iCs/>
          <w:sz w:val="24"/>
          <w:szCs w:val="24"/>
        </w:rPr>
        <w:t>；</w:t>
      </w:r>
      <w:r>
        <w:rPr>
          <w:rFonts w:ascii="Times New Roman" w:hAnsi="Times New Roman" w:hint="eastAsia"/>
          <w:bCs/>
          <w:iCs/>
          <w:sz w:val="24"/>
          <w:szCs w:val="24"/>
        </w:rPr>
        <w:t>其中</w:t>
      </w:r>
      <w:r>
        <w:rPr>
          <w:rFonts w:ascii="Times New Roman" w:hAnsi="Times New Roman" w:hint="eastAsia"/>
          <w:bCs/>
          <w:iCs/>
          <w:sz w:val="24"/>
          <w:szCs w:val="24"/>
        </w:rPr>
        <w:t>a</w:t>
      </w:r>
      <w:r>
        <w:rPr>
          <w:rFonts w:ascii="Times New Roman" w:hAnsi="Times New Roman" w:hint="eastAsia"/>
          <w:bCs/>
          <w:iCs/>
          <w:sz w:val="24"/>
          <w:szCs w:val="24"/>
        </w:rPr>
        <w:t>为清除</w:t>
      </w:r>
      <w:r>
        <w:rPr>
          <w:rFonts w:ascii="Times New Roman" w:hAnsi="Times New Roman" w:hint="eastAsia"/>
          <w:bCs/>
          <w:iCs/>
          <w:sz w:val="24"/>
          <w:szCs w:val="24"/>
        </w:rPr>
        <w:t>DPPH</w:t>
      </w:r>
      <w:r>
        <w:rPr>
          <w:rFonts w:ascii="Times New Roman" w:hAnsi="Times New Roman" w:hint="eastAsia"/>
          <w:bCs/>
          <w:iCs/>
          <w:sz w:val="24"/>
          <w:szCs w:val="24"/>
        </w:rPr>
        <w:t>自由基的活性，</w:t>
      </w:r>
      <w:r>
        <w:rPr>
          <w:rFonts w:ascii="Times New Roman" w:hAnsi="Times New Roman" w:hint="eastAsia"/>
          <w:bCs/>
          <w:iCs/>
          <w:sz w:val="24"/>
          <w:szCs w:val="24"/>
        </w:rPr>
        <w:t>b</w:t>
      </w:r>
      <w:r>
        <w:rPr>
          <w:rFonts w:ascii="Times New Roman" w:hAnsi="Times New Roman" w:hint="eastAsia"/>
          <w:bCs/>
          <w:iCs/>
          <w:sz w:val="24"/>
          <w:szCs w:val="24"/>
        </w:rPr>
        <w:t>为清除</w:t>
      </w:r>
      <w:r>
        <w:rPr>
          <w:rFonts w:ascii="Times New Roman" w:hAnsi="Times New Roman" w:hint="eastAsia"/>
          <w:bCs/>
          <w:iCs/>
          <w:sz w:val="24"/>
          <w:szCs w:val="24"/>
        </w:rPr>
        <w:t>ABTS</w:t>
      </w:r>
      <w:r>
        <w:rPr>
          <w:rFonts w:ascii="Times New Roman" w:hAnsi="Times New Roman" w:hint="eastAsia"/>
          <w:bCs/>
          <w:iCs/>
          <w:sz w:val="24"/>
          <w:szCs w:val="24"/>
        </w:rPr>
        <w:t>自由基的活性；</w:t>
      </w:r>
      <w:r>
        <w:rPr>
          <w:rFonts w:ascii="Times New Roman" w:hAnsi="Times New Roman" w:hint="eastAsia"/>
          <w:bCs/>
          <w:iCs/>
          <w:sz w:val="24"/>
          <w:szCs w:val="24"/>
        </w:rPr>
        <w:t xml:space="preserve">  </w:t>
      </w:r>
    </w:p>
    <w:p w14:paraId="2464839A"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hint="eastAsia"/>
          <w:bCs/>
          <w:iCs/>
          <w:sz w:val="24"/>
          <w:szCs w:val="24"/>
        </w:rPr>
        <w:t>图</w:t>
      </w:r>
      <w:r>
        <w:rPr>
          <w:rFonts w:ascii="Times New Roman" w:hAnsi="Times New Roman" w:hint="eastAsia"/>
          <w:bCs/>
          <w:iCs/>
          <w:sz w:val="24"/>
          <w:szCs w:val="24"/>
        </w:rPr>
        <w:t>8</w:t>
      </w:r>
      <w:r>
        <w:rPr>
          <w:rFonts w:ascii="Times New Roman" w:hAnsi="Times New Roman" w:hint="eastAsia"/>
          <w:bCs/>
          <w:iCs/>
          <w:sz w:val="24"/>
          <w:szCs w:val="24"/>
        </w:rPr>
        <w:t>是实施例</w:t>
      </w:r>
      <w:r>
        <w:rPr>
          <w:rFonts w:ascii="Times New Roman" w:hAnsi="Times New Roman" w:hint="eastAsia"/>
          <w:bCs/>
          <w:iCs/>
          <w:sz w:val="24"/>
          <w:szCs w:val="24"/>
        </w:rPr>
        <w:t>1</w:t>
      </w:r>
      <w:r>
        <w:rPr>
          <w:rFonts w:ascii="Times New Roman" w:hAnsi="Times New Roman" w:hint="eastAsia"/>
          <w:bCs/>
          <w:iCs/>
          <w:sz w:val="24"/>
          <w:szCs w:val="24"/>
        </w:rPr>
        <w:t>中不同比例</w:t>
      </w:r>
      <w:r>
        <w:rPr>
          <w:rFonts w:ascii="Times New Roman" w:hAnsi="Times New Roman" w:hint="eastAsia"/>
          <w:bCs/>
          <w:iCs/>
          <w:sz w:val="24"/>
          <w:szCs w:val="24"/>
        </w:rPr>
        <w:t>BWP/PEC</w:t>
      </w:r>
      <w:r>
        <w:rPr>
          <w:rFonts w:ascii="Times New Roman" w:hAnsi="Times New Roman" w:hint="eastAsia"/>
          <w:bCs/>
          <w:iCs/>
          <w:sz w:val="24"/>
          <w:szCs w:val="24"/>
        </w:rPr>
        <w:t>乳液在</w:t>
      </w:r>
      <w:r>
        <w:rPr>
          <w:rFonts w:ascii="Times New Roman" w:hAnsi="Times New Roman" w:hint="eastAsia"/>
          <w:bCs/>
          <w:iCs/>
          <w:sz w:val="24"/>
          <w:szCs w:val="24"/>
        </w:rPr>
        <w:t>90</w:t>
      </w:r>
      <w:r>
        <w:rPr>
          <w:rFonts w:ascii="Times New Roman" w:hAnsi="Times New Roman"/>
          <w:bCs/>
          <w:iCs/>
          <w:sz w:val="24"/>
          <w:szCs w:val="24"/>
        </w:rPr>
        <w:t>℃</w:t>
      </w:r>
      <w:r>
        <w:rPr>
          <w:rFonts w:ascii="Times New Roman" w:hAnsi="Times New Roman" w:hint="eastAsia"/>
          <w:bCs/>
          <w:iCs/>
          <w:sz w:val="24"/>
          <w:szCs w:val="24"/>
        </w:rPr>
        <w:t>加热</w:t>
      </w:r>
      <w:r>
        <w:rPr>
          <w:rFonts w:ascii="Times New Roman" w:hAnsi="Times New Roman" w:hint="eastAsia"/>
          <w:bCs/>
          <w:iCs/>
          <w:sz w:val="24"/>
          <w:szCs w:val="24"/>
        </w:rPr>
        <w:t>1</w:t>
      </w:r>
      <w:r>
        <w:rPr>
          <w:rFonts w:ascii="Times New Roman" w:hAnsi="Times New Roman"/>
          <w:bCs/>
          <w:i/>
          <w:sz w:val="24"/>
          <w:szCs w:val="24"/>
        </w:rPr>
        <w:t>～</w:t>
      </w:r>
      <w:r>
        <w:rPr>
          <w:rFonts w:ascii="Times New Roman" w:hAnsi="Times New Roman" w:hint="eastAsia"/>
          <w:bCs/>
          <w:iCs/>
          <w:sz w:val="24"/>
          <w:szCs w:val="24"/>
        </w:rPr>
        <w:t>6h</w:t>
      </w:r>
      <w:r>
        <w:rPr>
          <w:rFonts w:ascii="Times New Roman" w:hAnsi="Times New Roman" w:hint="eastAsia"/>
          <w:bCs/>
          <w:iCs/>
          <w:sz w:val="24"/>
          <w:szCs w:val="24"/>
        </w:rPr>
        <w:t>的包埋率；</w:t>
      </w:r>
    </w:p>
    <w:p w14:paraId="3F195FB2" w14:textId="77777777" w:rsidR="00946C2F" w:rsidRDefault="00000000">
      <w:pPr>
        <w:autoSpaceDE w:val="0"/>
        <w:autoSpaceDN w:val="0"/>
        <w:spacing w:line="360" w:lineRule="auto"/>
        <w:ind w:firstLineChars="200" w:firstLine="480"/>
        <w:rPr>
          <w:rFonts w:ascii="Times New Roman" w:hAnsi="Times New Roman"/>
          <w:bCs/>
          <w:iCs/>
          <w:sz w:val="24"/>
          <w:szCs w:val="24"/>
        </w:rPr>
      </w:pPr>
      <w:r>
        <w:rPr>
          <w:rFonts w:ascii="Times New Roman" w:hAnsi="Times New Roman" w:hint="eastAsia"/>
          <w:bCs/>
          <w:iCs/>
          <w:sz w:val="24"/>
          <w:szCs w:val="24"/>
        </w:rPr>
        <w:t>图</w:t>
      </w:r>
      <w:r>
        <w:rPr>
          <w:rFonts w:ascii="Times New Roman" w:hAnsi="Times New Roman" w:hint="eastAsia"/>
          <w:bCs/>
          <w:iCs/>
          <w:sz w:val="24"/>
          <w:szCs w:val="24"/>
        </w:rPr>
        <w:t>9</w:t>
      </w:r>
      <w:r>
        <w:rPr>
          <w:rFonts w:ascii="Times New Roman" w:hAnsi="Times New Roman" w:hint="eastAsia"/>
          <w:bCs/>
          <w:iCs/>
          <w:sz w:val="24"/>
          <w:szCs w:val="24"/>
        </w:rPr>
        <w:t>是实施例</w:t>
      </w:r>
      <w:r>
        <w:rPr>
          <w:rFonts w:ascii="Times New Roman" w:hAnsi="Times New Roman" w:hint="eastAsia"/>
          <w:bCs/>
          <w:iCs/>
          <w:sz w:val="24"/>
          <w:szCs w:val="24"/>
        </w:rPr>
        <w:t>1</w:t>
      </w:r>
      <w:r>
        <w:rPr>
          <w:rFonts w:ascii="Times New Roman" w:hAnsi="Times New Roman" w:hint="eastAsia"/>
          <w:bCs/>
          <w:iCs/>
          <w:sz w:val="24"/>
          <w:szCs w:val="24"/>
        </w:rPr>
        <w:t>中不同比例</w:t>
      </w:r>
      <w:r>
        <w:rPr>
          <w:rFonts w:ascii="Times New Roman" w:hAnsi="Times New Roman" w:hint="eastAsia"/>
          <w:bCs/>
          <w:iCs/>
          <w:sz w:val="24"/>
          <w:szCs w:val="24"/>
        </w:rPr>
        <w:t>BWP/PEC</w:t>
      </w:r>
      <w:r>
        <w:rPr>
          <w:rFonts w:ascii="Times New Roman" w:hAnsi="Times New Roman" w:hint="eastAsia"/>
          <w:bCs/>
          <w:iCs/>
          <w:sz w:val="24"/>
          <w:szCs w:val="24"/>
        </w:rPr>
        <w:t>乳液在室温贮藏</w:t>
      </w:r>
      <w:r>
        <w:rPr>
          <w:rFonts w:ascii="Times New Roman" w:hAnsi="Times New Roman" w:hint="eastAsia"/>
          <w:bCs/>
          <w:iCs/>
          <w:sz w:val="24"/>
          <w:szCs w:val="24"/>
        </w:rPr>
        <w:t>14</w:t>
      </w:r>
      <w:r>
        <w:rPr>
          <w:rFonts w:ascii="Times New Roman" w:hAnsi="Times New Roman" w:hint="eastAsia"/>
          <w:bCs/>
          <w:iCs/>
          <w:sz w:val="24"/>
          <w:szCs w:val="24"/>
        </w:rPr>
        <w:t>天过程中外观图；</w:t>
      </w:r>
    </w:p>
    <w:p w14:paraId="4B7904B5" w14:textId="77777777" w:rsidR="00946C2F" w:rsidRDefault="00000000">
      <w:pPr>
        <w:autoSpaceDE w:val="0"/>
        <w:autoSpaceDN w:val="0"/>
        <w:spacing w:line="360" w:lineRule="auto"/>
        <w:ind w:firstLineChars="200" w:firstLine="480"/>
        <w:rPr>
          <w:rFonts w:ascii="Times New Roman" w:hAnsi="Times New Roman"/>
          <w:b/>
          <w:sz w:val="24"/>
          <w:szCs w:val="24"/>
        </w:rPr>
      </w:pPr>
      <w:r>
        <w:rPr>
          <w:rFonts w:ascii="Times New Roman" w:hAnsi="Times New Roman" w:hint="eastAsia"/>
          <w:bCs/>
          <w:iCs/>
          <w:sz w:val="24"/>
          <w:szCs w:val="24"/>
        </w:rPr>
        <w:t>图</w:t>
      </w:r>
      <w:r>
        <w:rPr>
          <w:rFonts w:ascii="Times New Roman" w:hAnsi="Times New Roman" w:hint="eastAsia"/>
          <w:bCs/>
          <w:iCs/>
          <w:sz w:val="24"/>
          <w:szCs w:val="24"/>
        </w:rPr>
        <w:t>10</w:t>
      </w:r>
      <w:r>
        <w:rPr>
          <w:rFonts w:ascii="Times New Roman" w:hAnsi="Times New Roman" w:hint="eastAsia"/>
          <w:bCs/>
          <w:iCs/>
          <w:sz w:val="24"/>
          <w:szCs w:val="24"/>
        </w:rPr>
        <w:t>是实施例</w:t>
      </w:r>
      <w:r>
        <w:rPr>
          <w:rFonts w:ascii="Times New Roman" w:hAnsi="Times New Roman" w:hint="eastAsia"/>
          <w:bCs/>
          <w:iCs/>
          <w:sz w:val="24"/>
          <w:szCs w:val="24"/>
        </w:rPr>
        <w:t>1</w:t>
      </w:r>
      <w:r>
        <w:rPr>
          <w:rFonts w:ascii="Times New Roman" w:hAnsi="Times New Roman" w:hint="eastAsia"/>
          <w:bCs/>
          <w:iCs/>
          <w:sz w:val="24"/>
          <w:szCs w:val="24"/>
        </w:rPr>
        <w:t>中不同比例</w:t>
      </w:r>
      <w:r>
        <w:rPr>
          <w:rFonts w:ascii="Times New Roman" w:hAnsi="Times New Roman" w:hint="eastAsia"/>
          <w:bCs/>
          <w:iCs/>
          <w:sz w:val="24"/>
          <w:szCs w:val="24"/>
        </w:rPr>
        <w:t>BWP/PEC</w:t>
      </w:r>
      <w:r>
        <w:rPr>
          <w:rFonts w:ascii="Times New Roman" w:hAnsi="Times New Roman" w:hint="eastAsia"/>
          <w:bCs/>
          <w:iCs/>
          <w:sz w:val="24"/>
          <w:szCs w:val="24"/>
        </w:rPr>
        <w:t>乳液在</w:t>
      </w:r>
      <w:r>
        <w:rPr>
          <w:rFonts w:ascii="Times New Roman" w:hAnsi="Times New Roman" w:hint="eastAsia"/>
          <w:bCs/>
          <w:iCs/>
          <w:sz w:val="24"/>
          <w:szCs w:val="24"/>
        </w:rPr>
        <w:t>90min</w:t>
      </w:r>
      <w:r>
        <w:rPr>
          <w:rFonts w:ascii="Times New Roman" w:hAnsi="Times New Roman" w:hint="eastAsia"/>
          <w:bCs/>
          <w:iCs/>
          <w:sz w:val="24"/>
          <w:szCs w:val="24"/>
        </w:rPr>
        <w:t>动态胃消化后的胃潴留率。</w:t>
      </w:r>
    </w:p>
    <w:p w14:paraId="7CB673CF" w14:textId="77777777" w:rsidR="00946C2F" w:rsidRDefault="00000000">
      <w:pPr>
        <w:autoSpaceDE w:val="0"/>
        <w:autoSpaceDN w:val="0"/>
        <w:spacing w:line="360" w:lineRule="auto"/>
        <w:rPr>
          <w:rFonts w:ascii="Times New Roman" w:hAnsi="Times New Roman"/>
          <w:b/>
          <w:sz w:val="24"/>
          <w:szCs w:val="24"/>
        </w:rPr>
      </w:pPr>
      <w:r>
        <w:rPr>
          <w:rFonts w:ascii="Times New Roman" w:hAnsi="Times New Roman" w:hint="eastAsia"/>
          <w:b/>
          <w:sz w:val="24"/>
          <w:szCs w:val="24"/>
        </w:rPr>
        <w:t>具体实施方式</w:t>
      </w:r>
    </w:p>
    <w:p w14:paraId="7E85C727" w14:textId="77777777" w:rsidR="00946C2F" w:rsidRDefault="00000000">
      <w:pPr>
        <w:autoSpaceDE w:val="0"/>
        <w:autoSpaceDN w:val="0"/>
        <w:spacing w:line="360" w:lineRule="auto"/>
        <w:ind w:firstLineChars="200" w:firstLine="480"/>
        <w:rPr>
          <w:rFonts w:ascii="Times New Roman" w:hAnsi="Times New Roman"/>
          <w:sz w:val="24"/>
          <w:szCs w:val="24"/>
        </w:rPr>
      </w:pPr>
      <w:r>
        <w:rPr>
          <w:rFonts w:ascii="Times New Roman" w:hAnsi="Times New Roman" w:hint="eastAsia"/>
          <w:sz w:val="24"/>
          <w:szCs w:val="24"/>
        </w:rPr>
        <w:t>下面将结合本申请实施例中的附图，对本申请实施例中的技术方案进行清楚地描述，显然，所描述的实施例是本申请一部分实施例，而不是全部的实施例。基于本申请中的实施例，本领域普通技术人员获得的所有其他实施例，都属于本申请保护的范围。</w:t>
      </w:r>
    </w:p>
    <w:p w14:paraId="6D362637" w14:textId="77777777" w:rsidR="00946C2F" w:rsidRDefault="00000000">
      <w:pPr>
        <w:autoSpaceDE w:val="0"/>
        <w:autoSpaceDN w:val="0"/>
        <w:spacing w:line="360" w:lineRule="auto"/>
        <w:ind w:firstLineChars="200" w:firstLine="480"/>
        <w:rPr>
          <w:rFonts w:ascii="Times New Roman" w:hAnsi="Times New Roman"/>
          <w:sz w:val="24"/>
          <w:szCs w:val="24"/>
        </w:rPr>
      </w:pPr>
      <w:r>
        <w:rPr>
          <w:rFonts w:ascii="宋体" w:hAnsi="宋体" w:hint="eastAsia"/>
          <w:sz w:val="24"/>
          <w:szCs w:val="24"/>
        </w:rPr>
        <w:t>下述实施例中的实验方法，如无特殊说明，均为常规方法，按照本领域内的文献所描述的技术或条件或者按照产品说明书进行。下述实施例中所用的材料、试剂等，如无特殊说明，均可从商业途径得到。</w:t>
      </w:r>
    </w:p>
    <w:p w14:paraId="51650058" w14:textId="77777777" w:rsidR="00946C2F" w:rsidRDefault="00000000">
      <w:pPr>
        <w:adjustRightInd w:val="0"/>
        <w:snapToGrid w:val="0"/>
        <w:spacing w:line="360" w:lineRule="auto"/>
        <w:rPr>
          <w:rFonts w:ascii="宋体" w:hAnsi="宋体" w:hint="eastAsia"/>
          <w:b/>
          <w:bCs/>
          <w:sz w:val="24"/>
          <w:szCs w:val="24"/>
        </w:rPr>
      </w:pPr>
      <w:r>
        <w:rPr>
          <w:rFonts w:ascii="宋体" w:hAnsi="宋体" w:hint="eastAsia"/>
          <w:b/>
          <w:bCs/>
          <w:sz w:val="24"/>
          <w:szCs w:val="24"/>
        </w:rPr>
        <w:t>实施例1</w:t>
      </w:r>
    </w:p>
    <w:p w14:paraId="2ACB0D42" w14:textId="77777777" w:rsidR="00946C2F" w:rsidRDefault="00000000">
      <w:pPr>
        <w:widowControl/>
        <w:spacing w:line="360" w:lineRule="auto"/>
        <w:ind w:firstLineChars="200" w:firstLine="480"/>
        <w:jc w:val="left"/>
        <w:rPr>
          <w:rFonts w:ascii="宋体" w:hAnsi="宋体" w:hint="eastAsia"/>
          <w:color w:val="060607"/>
          <w:kern w:val="0"/>
          <w:sz w:val="24"/>
          <w:szCs w:val="24"/>
        </w:rPr>
      </w:pPr>
      <w:bookmarkStart w:id="0" w:name="_Hlk168143585"/>
      <w:bookmarkStart w:id="1" w:name="_Hlk168143065"/>
      <w:r>
        <w:rPr>
          <w:rFonts w:ascii="宋体" w:hAnsi="宋体" w:hint="eastAsia"/>
          <w:color w:val="060607"/>
          <w:kern w:val="0"/>
          <w:sz w:val="24"/>
          <w:szCs w:val="24"/>
        </w:rPr>
        <w:t>本实施</w:t>
      </w:r>
      <w:proofErr w:type="gramStart"/>
      <w:r>
        <w:rPr>
          <w:rFonts w:ascii="宋体" w:hAnsi="宋体" w:hint="eastAsia"/>
          <w:color w:val="060607"/>
          <w:kern w:val="0"/>
          <w:sz w:val="24"/>
          <w:szCs w:val="24"/>
        </w:rPr>
        <w:t>例提供</w:t>
      </w:r>
      <w:proofErr w:type="gramEnd"/>
      <w:r>
        <w:rPr>
          <w:rFonts w:ascii="宋体" w:hAnsi="宋体" w:hint="eastAsia"/>
          <w:color w:val="060607"/>
          <w:kern w:val="0"/>
          <w:sz w:val="24"/>
          <w:szCs w:val="24"/>
        </w:rPr>
        <w:t>一种水包油包水型复合乳液，其制备方法包括以下步骤：</w:t>
      </w:r>
    </w:p>
    <w:p w14:paraId="4AC855EC"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（1）BWP储备液的配置：将20g牛乳清蛋白粉（BWP）溶解在500 mL超纯水中，配制成浓度为4%（w/w）的BWP储备液，加热至55</w:t>
      </w:r>
      <w:r>
        <w:rPr>
          <w:rFonts w:ascii="宋体" w:hAnsi="宋体"/>
          <w:color w:val="060607"/>
          <w:kern w:val="0"/>
          <w:sz w:val="24"/>
          <w:szCs w:val="24"/>
        </w:rPr>
        <w:t>℃</w:t>
      </w:r>
      <w:r>
        <w:rPr>
          <w:rFonts w:ascii="宋体" w:hAnsi="宋体" w:hint="eastAsia"/>
          <w:color w:val="060607"/>
          <w:kern w:val="0"/>
          <w:sz w:val="24"/>
          <w:szCs w:val="24"/>
        </w:rPr>
        <w:t>，并搅拌40 min，备用。</w:t>
      </w:r>
    </w:p>
    <w:p w14:paraId="02951A60"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（2）PEC储备液的配置：将20 g</w:t>
      </w:r>
      <w:proofErr w:type="gramStart"/>
      <w:r>
        <w:rPr>
          <w:rFonts w:ascii="宋体" w:hAnsi="宋体" w:hint="eastAsia"/>
          <w:color w:val="060607"/>
          <w:kern w:val="0"/>
          <w:sz w:val="24"/>
          <w:szCs w:val="24"/>
        </w:rPr>
        <w:t>高酯果胶</w:t>
      </w:r>
      <w:proofErr w:type="gramEnd"/>
      <w:r>
        <w:rPr>
          <w:rFonts w:ascii="宋体" w:hAnsi="宋体" w:hint="eastAsia"/>
          <w:color w:val="060607"/>
          <w:kern w:val="0"/>
          <w:sz w:val="24"/>
          <w:szCs w:val="24"/>
        </w:rPr>
        <w:t>粉（PEC）溶解在500 mL 50</w:t>
      </w:r>
      <w:r>
        <w:rPr>
          <w:rFonts w:ascii="宋体" w:hAnsi="宋体"/>
          <w:color w:val="060607"/>
          <w:kern w:val="0"/>
          <w:sz w:val="24"/>
          <w:szCs w:val="24"/>
        </w:rPr>
        <w:t>℃</w:t>
      </w:r>
      <w:r>
        <w:rPr>
          <w:rFonts w:ascii="宋体" w:hAnsi="宋体" w:hint="eastAsia"/>
          <w:color w:val="060607"/>
          <w:kern w:val="0"/>
          <w:sz w:val="24"/>
          <w:szCs w:val="24"/>
        </w:rPr>
        <w:t>的超纯水，配制成浓度为4%（w/w）的PEC储备液，加热至55</w:t>
      </w:r>
      <w:r>
        <w:rPr>
          <w:rFonts w:ascii="宋体" w:hAnsi="宋体"/>
          <w:color w:val="060607"/>
          <w:kern w:val="0"/>
          <w:sz w:val="24"/>
          <w:szCs w:val="24"/>
        </w:rPr>
        <w:t>℃</w:t>
      </w:r>
      <w:r>
        <w:rPr>
          <w:rFonts w:ascii="宋体" w:hAnsi="宋体" w:hint="eastAsia"/>
          <w:color w:val="060607"/>
          <w:kern w:val="0"/>
          <w:sz w:val="24"/>
          <w:szCs w:val="24"/>
        </w:rPr>
        <w:t>，并搅拌4 h，使PEC充分溶解，备用。</w:t>
      </w:r>
    </w:p>
    <w:p w14:paraId="2D218DF9"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（3）外水相的制备：将BWP储备液和PEC储备</w:t>
      </w:r>
      <w:proofErr w:type="gramStart"/>
      <w:r>
        <w:rPr>
          <w:rFonts w:ascii="宋体" w:hAnsi="宋体" w:hint="eastAsia"/>
          <w:color w:val="060607"/>
          <w:kern w:val="0"/>
          <w:sz w:val="24"/>
          <w:szCs w:val="24"/>
        </w:rPr>
        <w:t>液按照</w:t>
      </w:r>
      <w:proofErr w:type="gramEnd"/>
      <w:r>
        <w:rPr>
          <w:rFonts w:ascii="宋体" w:hAnsi="宋体" w:hint="eastAsia"/>
          <w:color w:val="060607"/>
          <w:kern w:val="0"/>
          <w:sz w:val="24"/>
          <w:szCs w:val="24"/>
        </w:rPr>
        <w:t xml:space="preserve"> 5:1的体积比混合，在55℃加热并以800 rpm磁力搅拌3 h，调节pH为5，制成浓度为4%的BWP-PEC复合物，然后放在4</w:t>
      </w:r>
      <w:r>
        <w:rPr>
          <w:rFonts w:ascii="宋体" w:hAnsi="宋体"/>
          <w:color w:val="060607"/>
          <w:kern w:val="0"/>
          <w:sz w:val="24"/>
          <w:szCs w:val="24"/>
        </w:rPr>
        <w:t>℃</w:t>
      </w:r>
      <w:r>
        <w:rPr>
          <w:rFonts w:ascii="宋体" w:hAnsi="宋体" w:hint="eastAsia"/>
          <w:color w:val="060607"/>
          <w:kern w:val="0"/>
          <w:sz w:val="24"/>
          <w:szCs w:val="24"/>
        </w:rPr>
        <w:t>过夜使复合物充分水化；</w:t>
      </w:r>
    </w:p>
    <w:p w14:paraId="7B504CAB"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（4）内水相的配置：将纯度</w:t>
      </w:r>
      <w:r>
        <w:rPr>
          <w:rFonts w:ascii="宋体" w:hAnsi="宋体"/>
          <w:sz w:val="24"/>
          <w:szCs w:val="24"/>
          <w:lang w:val="en"/>
        </w:rPr>
        <w:t>≥</w:t>
      </w:r>
      <w:r>
        <w:rPr>
          <w:rFonts w:ascii="宋体" w:hAnsi="宋体" w:hint="eastAsia"/>
          <w:color w:val="060607"/>
          <w:kern w:val="0"/>
          <w:sz w:val="24"/>
          <w:szCs w:val="24"/>
        </w:rPr>
        <w:t>99%的绿原酸溶于超纯水，使其浓度为10mg/mL，在50</w:t>
      </w:r>
      <w:r>
        <w:rPr>
          <w:rFonts w:ascii="宋体" w:hAnsi="宋体"/>
          <w:color w:val="060607"/>
          <w:kern w:val="0"/>
          <w:sz w:val="24"/>
          <w:szCs w:val="24"/>
        </w:rPr>
        <w:t>～</w:t>
      </w:r>
      <w:r>
        <w:rPr>
          <w:rFonts w:ascii="宋体" w:hAnsi="宋体" w:hint="eastAsia"/>
          <w:color w:val="060607"/>
          <w:kern w:val="0"/>
          <w:sz w:val="24"/>
          <w:szCs w:val="24"/>
        </w:rPr>
        <w:t>60</w:t>
      </w:r>
      <w:r>
        <w:rPr>
          <w:rFonts w:ascii="宋体" w:hAnsi="宋体"/>
          <w:color w:val="060607"/>
          <w:kern w:val="0"/>
          <w:sz w:val="24"/>
          <w:szCs w:val="24"/>
        </w:rPr>
        <w:t>℃</w:t>
      </w:r>
      <w:r>
        <w:rPr>
          <w:rFonts w:ascii="宋体" w:hAnsi="宋体" w:hint="eastAsia"/>
          <w:color w:val="060607"/>
          <w:kern w:val="0"/>
          <w:sz w:val="24"/>
          <w:szCs w:val="24"/>
        </w:rPr>
        <w:t>避光加热搅拌均匀，备用；</w:t>
      </w:r>
    </w:p>
    <w:p w14:paraId="529A2A57"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（5）油相溶液的配置：将聚甘油蓖麻醇酸酯（PGPR）加入到食用大豆油中，使其质量占比为8%，在50</w:t>
      </w:r>
      <w:r>
        <w:rPr>
          <w:rFonts w:ascii="宋体" w:hAnsi="宋体"/>
          <w:color w:val="060607"/>
          <w:kern w:val="0"/>
          <w:sz w:val="24"/>
          <w:szCs w:val="24"/>
        </w:rPr>
        <w:t>℃</w:t>
      </w:r>
      <w:r>
        <w:rPr>
          <w:rFonts w:ascii="宋体" w:hAnsi="宋体" w:hint="eastAsia"/>
          <w:color w:val="060607"/>
          <w:kern w:val="0"/>
          <w:sz w:val="24"/>
          <w:szCs w:val="24"/>
        </w:rPr>
        <w:t>加热搅拌均匀，备用；</w:t>
      </w:r>
    </w:p>
    <w:p w14:paraId="7F572CEF"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（6）油包水乳液的配置：按照体积比为1:3的比例，将步骤（4）制备的内水相滴加到步骤（5）制备的油相中，加热至55</w:t>
      </w:r>
      <w:r>
        <w:rPr>
          <w:rFonts w:ascii="宋体" w:hAnsi="宋体"/>
          <w:color w:val="060607"/>
          <w:kern w:val="0"/>
          <w:sz w:val="24"/>
          <w:szCs w:val="24"/>
        </w:rPr>
        <w:t>℃</w:t>
      </w:r>
      <w:r>
        <w:rPr>
          <w:rFonts w:ascii="宋体" w:hAnsi="宋体" w:hint="eastAsia"/>
          <w:color w:val="060607"/>
          <w:kern w:val="0"/>
          <w:sz w:val="24"/>
          <w:szCs w:val="24"/>
        </w:rPr>
        <w:t>，同时以800 rpm搅拌10 min，得到的乳浊液用超声细胞破碎仪以80 W，25 kHz，工作1s间隔1s的模式超声处理3 min，随后在4</w:t>
      </w:r>
      <w:r>
        <w:rPr>
          <w:rFonts w:ascii="宋体" w:hAnsi="宋体"/>
          <w:color w:val="060607"/>
          <w:kern w:val="0"/>
          <w:sz w:val="24"/>
          <w:szCs w:val="24"/>
        </w:rPr>
        <w:t>℃</w:t>
      </w:r>
      <w:r>
        <w:rPr>
          <w:rFonts w:ascii="宋体" w:hAnsi="宋体" w:hint="eastAsia"/>
          <w:color w:val="060607"/>
          <w:kern w:val="0"/>
          <w:sz w:val="24"/>
          <w:szCs w:val="24"/>
        </w:rPr>
        <w:t>放置30 min得到基础的油包水乳液；</w:t>
      </w:r>
    </w:p>
    <w:p w14:paraId="4E63CB27"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（7）水包油包水乳液的配置：按照体积比为1:3的比例，将步骤（6）制备的油包水乳液加入到步骤（3）的外水相中，加热至55</w:t>
      </w:r>
      <w:r>
        <w:rPr>
          <w:rFonts w:ascii="宋体" w:hAnsi="宋体"/>
          <w:color w:val="060607"/>
          <w:kern w:val="0"/>
          <w:sz w:val="24"/>
          <w:szCs w:val="24"/>
        </w:rPr>
        <w:t>℃</w:t>
      </w:r>
      <w:r>
        <w:rPr>
          <w:rFonts w:ascii="宋体" w:hAnsi="宋体" w:hint="eastAsia"/>
          <w:color w:val="060607"/>
          <w:kern w:val="0"/>
          <w:sz w:val="24"/>
          <w:szCs w:val="24"/>
        </w:rPr>
        <w:t>，同时以800 rpm搅拌10 min，用超声细胞破碎仪以80 W，25 kHz，工作1s间隔1s的模式超声处理3 min，制备的水包油包水乳液保存在4</w:t>
      </w:r>
      <w:r>
        <w:rPr>
          <w:rFonts w:ascii="宋体" w:hAnsi="宋体"/>
          <w:color w:val="060607"/>
          <w:kern w:val="0"/>
          <w:sz w:val="24"/>
          <w:szCs w:val="24"/>
        </w:rPr>
        <w:t>℃</w:t>
      </w:r>
      <w:r>
        <w:rPr>
          <w:rFonts w:ascii="宋体" w:hAnsi="宋体" w:hint="eastAsia"/>
          <w:color w:val="060607"/>
          <w:kern w:val="0"/>
          <w:sz w:val="24"/>
          <w:szCs w:val="24"/>
        </w:rPr>
        <w:t>。</w:t>
      </w:r>
    </w:p>
    <w:p w14:paraId="65757A99" w14:textId="77777777" w:rsidR="00946C2F" w:rsidRDefault="00000000">
      <w:pPr>
        <w:widowControl/>
        <w:spacing w:line="360" w:lineRule="auto"/>
        <w:jc w:val="left"/>
        <w:rPr>
          <w:rFonts w:ascii="宋体" w:hAnsi="宋体" w:hint="eastAsia"/>
          <w:b/>
          <w:bCs/>
          <w:color w:val="060607"/>
          <w:kern w:val="0"/>
          <w:sz w:val="24"/>
          <w:szCs w:val="24"/>
        </w:rPr>
      </w:pPr>
      <w:r>
        <w:rPr>
          <w:rFonts w:ascii="宋体" w:hAnsi="宋体" w:hint="eastAsia"/>
          <w:b/>
          <w:bCs/>
          <w:color w:val="060607"/>
          <w:kern w:val="0"/>
          <w:sz w:val="24"/>
          <w:szCs w:val="24"/>
        </w:rPr>
        <w:t>实施例2</w:t>
      </w:r>
    </w:p>
    <w:p w14:paraId="66ED1AD8"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本实施</w:t>
      </w:r>
      <w:proofErr w:type="gramStart"/>
      <w:r>
        <w:rPr>
          <w:rFonts w:ascii="宋体" w:hAnsi="宋体" w:hint="eastAsia"/>
          <w:color w:val="060607"/>
          <w:kern w:val="0"/>
          <w:sz w:val="24"/>
          <w:szCs w:val="24"/>
        </w:rPr>
        <w:t>例提供</w:t>
      </w:r>
      <w:proofErr w:type="gramEnd"/>
      <w:r>
        <w:rPr>
          <w:rFonts w:ascii="宋体" w:hAnsi="宋体" w:hint="eastAsia"/>
          <w:color w:val="060607"/>
          <w:kern w:val="0"/>
          <w:sz w:val="24"/>
          <w:szCs w:val="24"/>
        </w:rPr>
        <w:t>一种水包油包水型复合乳液，本实施例与实施例1的区别仅仅在于：</w:t>
      </w:r>
    </w:p>
    <w:p w14:paraId="312BB373"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步骤（3）中BWP储备液和PEC储备液的体积比为3:1，其余均同实施例1。</w:t>
      </w:r>
    </w:p>
    <w:p w14:paraId="74901A97" w14:textId="77777777" w:rsidR="00946C2F" w:rsidRDefault="00000000">
      <w:pPr>
        <w:widowControl/>
        <w:spacing w:line="360" w:lineRule="auto"/>
        <w:jc w:val="left"/>
        <w:rPr>
          <w:rFonts w:ascii="宋体" w:hAnsi="宋体" w:hint="eastAsia"/>
          <w:b/>
          <w:bCs/>
          <w:color w:val="060607"/>
          <w:kern w:val="0"/>
          <w:sz w:val="24"/>
          <w:szCs w:val="24"/>
        </w:rPr>
      </w:pPr>
      <w:r>
        <w:rPr>
          <w:rFonts w:ascii="宋体" w:hAnsi="宋体" w:hint="eastAsia"/>
          <w:b/>
          <w:bCs/>
          <w:color w:val="060607"/>
          <w:kern w:val="0"/>
          <w:sz w:val="24"/>
          <w:szCs w:val="24"/>
        </w:rPr>
        <w:t>实施例3</w:t>
      </w:r>
    </w:p>
    <w:p w14:paraId="57590E90"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本实施</w:t>
      </w:r>
      <w:proofErr w:type="gramStart"/>
      <w:r>
        <w:rPr>
          <w:rFonts w:ascii="宋体" w:hAnsi="宋体" w:hint="eastAsia"/>
          <w:color w:val="060607"/>
          <w:kern w:val="0"/>
          <w:sz w:val="24"/>
          <w:szCs w:val="24"/>
        </w:rPr>
        <w:t>例提供</w:t>
      </w:r>
      <w:proofErr w:type="gramEnd"/>
      <w:r>
        <w:rPr>
          <w:rFonts w:ascii="宋体" w:hAnsi="宋体" w:hint="eastAsia"/>
          <w:color w:val="060607"/>
          <w:kern w:val="0"/>
          <w:sz w:val="24"/>
          <w:szCs w:val="24"/>
        </w:rPr>
        <w:t>一种水包油包水型复合乳液，本实施例与实施例1的区别仅仅在于：</w:t>
      </w:r>
    </w:p>
    <w:p w14:paraId="0E907FF5"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步骤（3）中BWP储备液和PEC储备液的体积比为1:1，其余均同实施例1。</w:t>
      </w:r>
    </w:p>
    <w:p w14:paraId="5889A515" w14:textId="77777777" w:rsidR="00946C2F" w:rsidRDefault="00000000">
      <w:pPr>
        <w:widowControl/>
        <w:spacing w:line="360" w:lineRule="auto"/>
        <w:jc w:val="left"/>
        <w:rPr>
          <w:rFonts w:ascii="宋体" w:hAnsi="宋体" w:hint="eastAsia"/>
          <w:b/>
          <w:bCs/>
          <w:color w:val="060607"/>
          <w:kern w:val="0"/>
          <w:sz w:val="24"/>
          <w:szCs w:val="24"/>
        </w:rPr>
      </w:pPr>
      <w:r>
        <w:rPr>
          <w:rFonts w:ascii="宋体" w:hAnsi="宋体" w:hint="eastAsia"/>
          <w:b/>
          <w:bCs/>
          <w:color w:val="060607"/>
          <w:kern w:val="0"/>
          <w:sz w:val="24"/>
          <w:szCs w:val="24"/>
        </w:rPr>
        <w:t>实施例4</w:t>
      </w:r>
    </w:p>
    <w:p w14:paraId="338EF09E"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本实施</w:t>
      </w:r>
      <w:proofErr w:type="gramStart"/>
      <w:r>
        <w:rPr>
          <w:rFonts w:ascii="宋体" w:hAnsi="宋体" w:hint="eastAsia"/>
          <w:color w:val="060607"/>
          <w:kern w:val="0"/>
          <w:sz w:val="24"/>
          <w:szCs w:val="24"/>
        </w:rPr>
        <w:t>例提供</w:t>
      </w:r>
      <w:proofErr w:type="gramEnd"/>
      <w:r>
        <w:rPr>
          <w:rFonts w:ascii="宋体" w:hAnsi="宋体" w:hint="eastAsia"/>
          <w:color w:val="060607"/>
          <w:kern w:val="0"/>
          <w:sz w:val="24"/>
          <w:szCs w:val="24"/>
        </w:rPr>
        <w:t>一种水包油包水型复合乳液，本实施例与实施例1的区别仅仅在于：</w:t>
      </w:r>
    </w:p>
    <w:p w14:paraId="0DB1BD03"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步骤（3）中BWP储备液和PEC储备液的体积比为1:3，其余均同实施例1。</w:t>
      </w:r>
    </w:p>
    <w:p w14:paraId="76ACC6DF" w14:textId="77777777" w:rsidR="00946C2F" w:rsidRDefault="00000000">
      <w:pPr>
        <w:widowControl/>
        <w:spacing w:line="360" w:lineRule="auto"/>
        <w:jc w:val="left"/>
        <w:rPr>
          <w:rFonts w:ascii="宋体" w:hAnsi="宋体" w:hint="eastAsia"/>
          <w:b/>
          <w:bCs/>
          <w:color w:val="060607"/>
          <w:kern w:val="0"/>
          <w:sz w:val="24"/>
          <w:szCs w:val="24"/>
        </w:rPr>
      </w:pPr>
      <w:r>
        <w:rPr>
          <w:rFonts w:ascii="宋体" w:hAnsi="宋体" w:hint="eastAsia"/>
          <w:b/>
          <w:bCs/>
          <w:color w:val="060607"/>
          <w:kern w:val="0"/>
          <w:sz w:val="24"/>
          <w:szCs w:val="24"/>
        </w:rPr>
        <w:t>实施例5</w:t>
      </w:r>
    </w:p>
    <w:p w14:paraId="5D564E59"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本实施</w:t>
      </w:r>
      <w:proofErr w:type="gramStart"/>
      <w:r>
        <w:rPr>
          <w:rFonts w:ascii="宋体" w:hAnsi="宋体" w:hint="eastAsia"/>
          <w:color w:val="060607"/>
          <w:kern w:val="0"/>
          <w:sz w:val="24"/>
          <w:szCs w:val="24"/>
        </w:rPr>
        <w:t>例提供</w:t>
      </w:r>
      <w:proofErr w:type="gramEnd"/>
      <w:r>
        <w:rPr>
          <w:rFonts w:ascii="宋体" w:hAnsi="宋体" w:hint="eastAsia"/>
          <w:color w:val="060607"/>
          <w:kern w:val="0"/>
          <w:sz w:val="24"/>
          <w:szCs w:val="24"/>
        </w:rPr>
        <w:t>一种水包油包水型复合乳液，本实施例与实施例1的区别仅仅在于：</w:t>
      </w:r>
    </w:p>
    <w:p w14:paraId="5308978E"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步骤（3）中BWP储备液和PEC储备液的体积比为1:5，其余均同实施例1。</w:t>
      </w:r>
    </w:p>
    <w:p w14:paraId="0BAAF9A8" w14:textId="77777777" w:rsidR="00946C2F" w:rsidRDefault="00000000">
      <w:pPr>
        <w:widowControl/>
        <w:spacing w:line="360" w:lineRule="auto"/>
        <w:jc w:val="left"/>
        <w:rPr>
          <w:rFonts w:ascii="宋体" w:hAnsi="宋体" w:hint="eastAsia"/>
          <w:b/>
          <w:bCs/>
          <w:color w:val="060607"/>
          <w:kern w:val="0"/>
          <w:sz w:val="24"/>
          <w:szCs w:val="24"/>
        </w:rPr>
      </w:pPr>
      <w:r>
        <w:rPr>
          <w:rFonts w:ascii="宋体" w:hAnsi="宋体" w:hint="eastAsia"/>
          <w:b/>
          <w:bCs/>
          <w:color w:val="060607"/>
          <w:kern w:val="0"/>
          <w:sz w:val="24"/>
          <w:szCs w:val="24"/>
        </w:rPr>
        <w:t>实施例6</w:t>
      </w:r>
    </w:p>
    <w:p w14:paraId="3938580E"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本实施</w:t>
      </w:r>
      <w:proofErr w:type="gramStart"/>
      <w:r>
        <w:rPr>
          <w:rFonts w:ascii="宋体" w:hAnsi="宋体" w:hint="eastAsia"/>
          <w:color w:val="060607"/>
          <w:kern w:val="0"/>
          <w:sz w:val="24"/>
          <w:szCs w:val="24"/>
        </w:rPr>
        <w:t>例提供</w:t>
      </w:r>
      <w:proofErr w:type="gramEnd"/>
      <w:r>
        <w:rPr>
          <w:rFonts w:ascii="宋体" w:hAnsi="宋体" w:hint="eastAsia"/>
          <w:color w:val="060607"/>
          <w:kern w:val="0"/>
          <w:sz w:val="24"/>
          <w:szCs w:val="24"/>
        </w:rPr>
        <w:t>一种水包油包水型复合乳液，本实施例与实施例5的区别仅仅在于：</w:t>
      </w:r>
    </w:p>
    <w:p w14:paraId="4196E980" w14:textId="77777777" w:rsidR="00946C2F" w:rsidRDefault="00000000">
      <w:pPr>
        <w:widowControl/>
        <w:spacing w:line="360" w:lineRule="auto"/>
        <w:jc w:val="left"/>
        <w:rPr>
          <w:rFonts w:ascii="宋体" w:hAnsi="宋体" w:hint="eastAsia"/>
          <w:b/>
          <w:bCs/>
          <w:color w:val="060607"/>
          <w:kern w:val="0"/>
          <w:sz w:val="24"/>
          <w:szCs w:val="24"/>
        </w:rPr>
      </w:pPr>
      <w:r>
        <w:rPr>
          <w:rFonts w:ascii="宋体" w:hAnsi="宋体" w:hint="eastAsia"/>
          <w:color w:val="060607"/>
          <w:kern w:val="0"/>
          <w:sz w:val="24"/>
          <w:szCs w:val="24"/>
        </w:rPr>
        <w:t>步骤（1）中牛乳清蛋白粉的用量为30g，BWP储备液的浓度为6%（w/w）；步骤（2）</w:t>
      </w:r>
      <w:proofErr w:type="gramStart"/>
      <w:r>
        <w:rPr>
          <w:rFonts w:ascii="宋体" w:hAnsi="宋体" w:hint="eastAsia"/>
          <w:color w:val="060607"/>
          <w:kern w:val="0"/>
          <w:sz w:val="24"/>
          <w:szCs w:val="24"/>
        </w:rPr>
        <w:t>中高酯果胶</w:t>
      </w:r>
      <w:proofErr w:type="gramEnd"/>
      <w:r>
        <w:rPr>
          <w:rFonts w:ascii="宋体" w:hAnsi="宋体" w:hint="eastAsia"/>
          <w:color w:val="060607"/>
          <w:kern w:val="0"/>
          <w:sz w:val="24"/>
          <w:szCs w:val="24"/>
        </w:rPr>
        <w:t>粉的用量为30g，PEC储备液的浓度为6%（w/w）；步骤（3）中BWP-PEC复合物的浓度为6%（w/w），其余均同实施例5。</w:t>
      </w:r>
    </w:p>
    <w:p w14:paraId="5588BA3A" w14:textId="77777777" w:rsidR="00946C2F" w:rsidRDefault="00000000">
      <w:pPr>
        <w:widowControl/>
        <w:spacing w:line="360" w:lineRule="auto"/>
        <w:jc w:val="left"/>
        <w:rPr>
          <w:rFonts w:ascii="宋体" w:hAnsi="宋体" w:hint="eastAsia"/>
          <w:b/>
          <w:bCs/>
          <w:color w:val="060607"/>
          <w:kern w:val="0"/>
          <w:sz w:val="24"/>
          <w:szCs w:val="24"/>
        </w:rPr>
      </w:pPr>
      <w:r>
        <w:rPr>
          <w:rFonts w:ascii="宋体" w:hAnsi="宋体" w:hint="eastAsia"/>
          <w:b/>
          <w:bCs/>
          <w:color w:val="060607"/>
          <w:kern w:val="0"/>
          <w:sz w:val="24"/>
          <w:szCs w:val="24"/>
        </w:rPr>
        <w:t>实验例1</w:t>
      </w:r>
    </w:p>
    <w:p w14:paraId="795D1E08"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实施例1-5步骤（3）制备的BWP-PEC复合物傅里叶红外光谱图、接枝度和外观图如图1所示。五种比例的复合物均为均匀的白色乳液(图1b)。将BWP-PEC复合物冻干后通过溴化钾压片，</w:t>
      </w:r>
      <w:proofErr w:type="gramStart"/>
      <w:r>
        <w:rPr>
          <w:rFonts w:ascii="宋体" w:hAnsi="宋体" w:hint="eastAsia"/>
          <w:color w:val="060607"/>
          <w:kern w:val="0"/>
          <w:sz w:val="24"/>
          <w:szCs w:val="24"/>
        </w:rPr>
        <w:t>在傅里叶</w:t>
      </w:r>
      <w:proofErr w:type="gramEnd"/>
      <w:r>
        <w:rPr>
          <w:rFonts w:ascii="宋体" w:hAnsi="宋体" w:hint="eastAsia"/>
          <w:color w:val="060607"/>
          <w:kern w:val="0"/>
          <w:sz w:val="24"/>
          <w:szCs w:val="24"/>
        </w:rPr>
        <w:t>红外光谱下扫描，波长范围为4000-400 cm</w:t>
      </w:r>
      <w:r w:rsidRPr="003F1908">
        <w:rPr>
          <w:rFonts w:ascii="宋体" w:hAnsi="宋体" w:hint="eastAsia"/>
          <w:color w:val="060607"/>
          <w:kern w:val="0"/>
          <w:sz w:val="24"/>
          <w:szCs w:val="24"/>
          <w:vertAlign w:val="superscript"/>
        </w:rPr>
        <w:t>-1</w:t>
      </w:r>
      <w:r>
        <w:rPr>
          <w:rFonts w:ascii="宋体" w:hAnsi="宋体" w:hint="eastAsia"/>
          <w:color w:val="060607"/>
          <w:kern w:val="0"/>
          <w:sz w:val="24"/>
          <w:szCs w:val="24"/>
        </w:rPr>
        <w:t>，结果如图1a所示，在BWP-PEC复合物中，随着PEC比例的增加，3400 cm</w:t>
      </w:r>
      <w:r>
        <w:rPr>
          <w:rFonts w:ascii="宋体" w:hAnsi="宋体" w:hint="eastAsia"/>
          <w:color w:val="060607"/>
          <w:kern w:val="0"/>
          <w:sz w:val="24"/>
          <w:szCs w:val="24"/>
          <w:vertAlign w:val="superscript"/>
        </w:rPr>
        <w:t>-1</w:t>
      </w:r>
      <w:r>
        <w:rPr>
          <w:rFonts w:ascii="宋体" w:hAnsi="宋体" w:hint="eastAsia"/>
          <w:color w:val="060607"/>
          <w:kern w:val="0"/>
          <w:sz w:val="24"/>
          <w:szCs w:val="24"/>
        </w:rPr>
        <w:t>处的宽带</w:t>
      </w:r>
      <w:proofErr w:type="gramStart"/>
      <w:r>
        <w:rPr>
          <w:rFonts w:ascii="宋体" w:hAnsi="宋体" w:hint="eastAsia"/>
          <w:color w:val="060607"/>
          <w:kern w:val="0"/>
          <w:sz w:val="24"/>
          <w:szCs w:val="24"/>
        </w:rPr>
        <w:t>峰逐渐</w:t>
      </w:r>
      <w:proofErr w:type="gramEnd"/>
      <w:r>
        <w:rPr>
          <w:rFonts w:ascii="宋体" w:hAnsi="宋体" w:hint="eastAsia"/>
          <w:color w:val="060607"/>
          <w:kern w:val="0"/>
          <w:sz w:val="24"/>
          <w:szCs w:val="24"/>
        </w:rPr>
        <w:t>变平缓甚至消失，2925 cm</w:t>
      </w:r>
      <w:r>
        <w:rPr>
          <w:rFonts w:ascii="宋体" w:hAnsi="宋体" w:hint="eastAsia"/>
          <w:color w:val="060607"/>
          <w:kern w:val="0"/>
          <w:sz w:val="24"/>
          <w:szCs w:val="24"/>
          <w:vertAlign w:val="superscript"/>
        </w:rPr>
        <w:t>-1</w:t>
      </w:r>
      <w:r>
        <w:rPr>
          <w:rFonts w:ascii="宋体" w:hAnsi="宋体" w:hint="eastAsia"/>
          <w:color w:val="060607"/>
          <w:kern w:val="0"/>
          <w:sz w:val="24"/>
          <w:szCs w:val="24"/>
        </w:rPr>
        <w:t>处的特征</w:t>
      </w:r>
      <w:proofErr w:type="gramStart"/>
      <w:r>
        <w:rPr>
          <w:rFonts w:ascii="宋体" w:hAnsi="宋体" w:hint="eastAsia"/>
          <w:color w:val="060607"/>
          <w:kern w:val="0"/>
          <w:sz w:val="24"/>
          <w:szCs w:val="24"/>
        </w:rPr>
        <w:t>峰逐渐</w:t>
      </w:r>
      <w:proofErr w:type="gramEnd"/>
      <w:r>
        <w:rPr>
          <w:rFonts w:ascii="宋体" w:hAnsi="宋体" w:hint="eastAsia"/>
          <w:color w:val="060607"/>
          <w:kern w:val="0"/>
          <w:sz w:val="24"/>
          <w:szCs w:val="24"/>
        </w:rPr>
        <w:t>减弱；1742 cm</w:t>
      </w:r>
      <w:r>
        <w:rPr>
          <w:rFonts w:ascii="宋体" w:hAnsi="宋体" w:hint="eastAsia"/>
          <w:color w:val="060607"/>
          <w:kern w:val="0"/>
          <w:sz w:val="24"/>
          <w:szCs w:val="24"/>
          <w:vertAlign w:val="superscript"/>
        </w:rPr>
        <w:t>-1</w:t>
      </w:r>
      <w:r>
        <w:rPr>
          <w:rFonts w:ascii="宋体" w:hAnsi="宋体" w:hint="eastAsia"/>
          <w:color w:val="060607"/>
          <w:kern w:val="0"/>
          <w:sz w:val="24"/>
          <w:szCs w:val="24"/>
        </w:rPr>
        <w:t>处的特征峰增强，可能对应于复合物中原属于PEC的羧基的C=O伸缩振动逐渐增强；另一个信号在1019 cm</w:t>
      </w:r>
      <w:r>
        <w:rPr>
          <w:rFonts w:ascii="宋体" w:hAnsi="宋体" w:hint="eastAsia"/>
          <w:color w:val="060607"/>
          <w:kern w:val="0"/>
          <w:sz w:val="24"/>
          <w:szCs w:val="24"/>
          <w:vertAlign w:val="superscript"/>
        </w:rPr>
        <w:t>-1</w:t>
      </w:r>
      <w:r>
        <w:rPr>
          <w:rFonts w:ascii="宋体" w:hAnsi="宋体" w:hint="eastAsia"/>
          <w:color w:val="060607"/>
          <w:kern w:val="0"/>
          <w:sz w:val="24"/>
          <w:szCs w:val="24"/>
        </w:rPr>
        <w:t>附近逐渐变得明显，可能是PEC的拉伸振动；另一个信号在1019 cm</w:t>
      </w:r>
      <w:r>
        <w:rPr>
          <w:rFonts w:ascii="宋体" w:hAnsi="宋体" w:hint="eastAsia"/>
          <w:color w:val="060607"/>
          <w:kern w:val="0"/>
          <w:sz w:val="24"/>
          <w:szCs w:val="24"/>
          <w:vertAlign w:val="superscript"/>
        </w:rPr>
        <w:t>-1</w:t>
      </w:r>
      <w:r>
        <w:rPr>
          <w:rFonts w:ascii="宋体" w:hAnsi="宋体" w:hint="eastAsia"/>
          <w:color w:val="060607"/>
          <w:kern w:val="0"/>
          <w:sz w:val="24"/>
          <w:szCs w:val="24"/>
        </w:rPr>
        <w:t>附近逐渐变得明显，可能对应于第一类酰胺键中C=O的拉伸振动。在1482 cm</w:t>
      </w:r>
      <w:r>
        <w:rPr>
          <w:rFonts w:ascii="宋体" w:hAnsi="宋体" w:hint="eastAsia"/>
          <w:color w:val="060607"/>
          <w:kern w:val="0"/>
          <w:sz w:val="24"/>
          <w:szCs w:val="24"/>
          <w:vertAlign w:val="superscript"/>
        </w:rPr>
        <w:t>-1</w:t>
      </w:r>
      <w:r>
        <w:rPr>
          <w:rFonts w:ascii="宋体" w:hAnsi="宋体" w:hint="eastAsia"/>
          <w:color w:val="060607"/>
          <w:kern w:val="0"/>
          <w:sz w:val="24"/>
          <w:szCs w:val="24"/>
        </w:rPr>
        <w:t>和1203 cm</w:t>
      </w:r>
      <w:r>
        <w:rPr>
          <w:rFonts w:ascii="宋体" w:hAnsi="宋体" w:hint="eastAsia"/>
          <w:color w:val="060607"/>
          <w:kern w:val="0"/>
          <w:sz w:val="24"/>
          <w:szCs w:val="24"/>
          <w:vertAlign w:val="superscript"/>
        </w:rPr>
        <w:t>-1</w:t>
      </w:r>
      <w:r>
        <w:rPr>
          <w:rFonts w:ascii="宋体" w:hAnsi="宋体" w:hint="eastAsia"/>
          <w:color w:val="060607"/>
          <w:kern w:val="0"/>
          <w:sz w:val="24"/>
          <w:szCs w:val="24"/>
        </w:rPr>
        <w:t>处特征</w:t>
      </w:r>
      <w:proofErr w:type="gramStart"/>
      <w:r>
        <w:rPr>
          <w:rFonts w:ascii="宋体" w:hAnsi="宋体" w:hint="eastAsia"/>
          <w:color w:val="060607"/>
          <w:kern w:val="0"/>
          <w:sz w:val="24"/>
          <w:szCs w:val="24"/>
        </w:rPr>
        <w:t>峰逐渐</w:t>
      </w:r>
      <w:proofErr w:type="gramEnd"/>
      <w:r>
        <w:rPr>
          <w:rFonts w:ascii="宋体" w:hAnsi="宋体" w:hint="eastAsia"/>
          <w:color w:val="060607"/>
          <w:kern w:val="0"/>
          <w:sz w:val="24"/>
          <w:szCs w:val="24"/>
        </w:rPr>
        <w:t>明显，可能是由于BWP和PEC相互作用引起烷烃上的C-H弯曲振动和C-C伸缩振动。另一方面，在1101～1103 cm</w:t>
      </w:r>
      <w:r>
        <w:rPr>
          <w:rFonts w:ascii="宋体" w:hAnsi="宋体" w:hint="eastAsia"/>
          <w:color w:val="060607"/>
          <w:kern w:val="0"/>
          <w:sz w:val="24"/>
          <w:szCs w:val="24"/>
          <w:vertAlign w:val="superscript"/>
        </w:rPr>
        <w:t>-1</w:t>
      </w:r>
      <w:r>
        <w:rPr>
          <w:rFonts w:ascii="宋体" w:hAnsi="宋体" w:hint="eastAsia"/>
          <w:color w:val="060607"/>
          <w:kern w:val="0"/>
          <w:sz w:val="24"/>
          <w:szCs w:val="24"/>
        </w:rPr>
        <w:t>附近形成的新的特征</w:t>
      </w:r>
      <w:proofErr w:type="gramStart"/>
      <w:r>
        <w:rPr>
          <w:rFonts w:ascii="宋体" w:hAnsi="宋体" w:hint="eastAsia"/>
          <w:color w:val="060607"/>
          <w:kern w:val="0"/>
          <w:sz w:val="24"/>
          <w:szCs w:val="24"/>
        </w:rPr>
        <w:t>峰可能</w:t>
      </w:r>
      <w:proofErr w:type="gramEnd"/>
      <w:r>
        <w:rPr>
          <w:rFonts w:ascii="宋体" w:hAnsi="宋体" w:hint="eastAsia"/>
          <w:color w:val="060607"/>
          <w:kern w:val="0"/>
          <w:sz w:val="24"/>
          <w:szCs w:val="24"/>
        </w:rPr>
        <w:t>是BWP-PEC复合物形成后的糖苷键等新的特征信号。通过</w:t>
      </w:r>
      <w:r w:rsidRPr="003F1908">
        <w:rPr>
          <w:rFonts w:ascii="宋体" w:hAnsi="宋体" w:hint="eastAsia"/>
          <w:color w:val="060607"/>
          <w:kern w:val="0"/>
          <w:sz w:val="24"/>
          <w:szCs w:val="24"/>
        </w:rPr>
        <w:t>邻苯二甲醛方法测定</w:t>
      </w:r>
      <w:r>
        <w:rPr>
          <w:rFonts w:ascii="宋体" w:hAnsi="宋体" w:hint="eastAsia"/>
          <w:color w:val="060607"/>
          <w:kern w:val="0"/>
          <w:sz w:val="24"/>
          <w:szCs w:val="24"/>
        </w:rPr>
        <w:t>BWP-PEC复合物的接枝度，结果如图1c所示，接枝</w:t>
      </w:r>
      <w:proofErr w:type="gramStart"/>
      <w:r>
        <w:rPr>
          <w:rFonts w:ascii="宋体" w:hAnsi="宋体" w:hint="eastAsia"/>
          <w:color w:val="060607"/>
          <w:kern w:val="0"/>
          <w:sz w:val="24"/>
          <w:szCs w:val="24"/>
        </w:rPr>
        <w:t>度反映</w:t>
      </w:r>
      <w:proofErr w:type="gramEnd"/>
      <w:r>
        <w:rPr>
          <w:rFonts w:ascii="宋体" w:hAnsi="宋体" w:hint="eastAsia"/>
          <w:color w:val="060607"/>
          <w:kern w:val="0"/>
          <w:sz w:val="24"/>
          <w:szCs w:val="24"/>
        </w:rPr>
        <w:t>BWP-PEC配合物的糖基化反应程度，BWP: PEC为1:5时接枝度最高，为16.98</w:t>
      </w:r>
      <w:r>
        <w:rPr>
          <w:rFonts w:ascii="宋体" w:hAnsi="宋体"/>
          <w:color w:val="060607"/>
          <w:kern w:val="0"/>
          <w:sz w:val="24"/>
          <w:szCs w:val="24"/>
        </w:rPr>
        <w:t>±</w:t>
      </w:r>
      <w:r>
        <w:rPr>
          <w:rFonts w:ascii="宋体" w:hAnsi="宋体" w:hint="eastAsia"/>
          <w:color w:val="060607"/>
          <w:kern w:val="0"/>
          <w:sz w:val="24"/>
          <w:szCs w:val="24"/>
        </w:rPr>
        <w:t>1.17%。BWP: PEC为3:1时效果次之，为5.34±0.55%，BWP: PEC为1:1和1：3时，分别为4.34±0.27%和4.09±0.78%，BWP: PEC为5:1时接枝度最低，为1.64±0.41%。</w:t>
      </w:r>
    </w:p>
    <w:p w14:paraId="04560661"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将实施例1-5制备的水包油包水型复合乳液冷冻干燥36-48h后镀金，在扫描电镜下观察其微观形貌，结果如图2所示，在扫描电镜下观察到乳液的液滴外部均呈现致密的网状结构，由致密的BWP和PEC组成。当BWP: PEC为1:5时，BWP-PEC形成最为致密、均匀的配合物，对内部水相有很强的吸附作用。</w:t>
      </w:r>
    </w:p>
    <w:p w14:paraId="733F793F"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将实施例1-5制备的水包油包水型复合乳液在4℃下10000 rpm离心10-15 min，除去下层液体，以纯水为内水相作为空白参比，用紫外分光光度计在329nm测量上清液吸光度计算出绿原酸含量。对绿原酸的包封率如图3所示，</w:t>
      </w:r>
      <w:r>
        <w:rPr>
          <w:rFonts w:ascii="宋体" w:hAnsi="宋体"/>
          <w:color w:val="060607"/>
          <w:kern w:val="0"/>
          <w:sz w:val="24"/>
          <w:szCs w:val="24"/>
        </w:rPr>
        <w:t>随着</w:t>
      </w:r>
      <w:r>
        <w:rPr>
          <w:rFonts w:ascii="宋体" w:hAnsi="宋体" w:hint="eastAsia"/>
          <w:color w:val="060607"/>
          <w:kern w:val="0"/>
          <w:sz w:val="24"/>
          <w:szCs w:val="24"/>
        </w:rPr>
        <w:t>乳液</w:t>
      </w:r>
      <w:r>
        <w:rPr>
          <w:rFonts w:ascii="宋体" w:hAnsi="宋体"/>
          <w:color w:val="060607"/>
          <w:kern w:val="0"/>
          <w:sz w:val="24"/>
          <w:szCs w:val="24"/>
        </w:rPr>
        <w:t>中PEC比例的增加，乳液对</w:t>
      </w:r>
      <w:r>
        <w:rPr>
          <w:rFonts w:ascii="宋体" w:hAnsi="宋体" w:hint="eastAsia"/>
          <w:color w:val="060607"/>
          <w:kern w:val="0"/>
          <w:sz w:val="24"/>
          <w:szCs w:val="24"/>
        </w:rPr>
        <w:t>绿原酸</w:t>
      </w:r>
      <w:r>
        <w:rPr>
          <w:rFonts w:ascii="宋体" w:hAnsi="宋体"/>
          <w:color w:val="060607"/>
          <w:kern w:val="0"/>
          <w:sz w:val="24"/>
          <w:szCs w:val="24"/>
        </w:rPr>
        <w:t>的包封率呈现先增大后减小最后增大的总体趋势。</w:t>
      </w:r>
      <w:r>
        <w:rPr>
          <w:rFonts w:ascii="宋体" w:hAnsi="宋体" w:hint="eastAsia"/>
          <w:color w:val="060607"/>
          <w:kern w:val="0"/>
          <w:sz w:val="24"/>
          <w:szCs w:val="24"/>
        </w:rPr>
        <w:t>当外水相中</w:t>
      </w:r>
      <w:r>
        <w:rPr>
          <w:rFonts w:ascii="宋体" w:hAnsi="宋体"/>
          <w:color w:val="060607"/>
          <w:kern w:val="0"/>
          <w:sz w:val="24"/>
          <w:szCs w:val="24"/>
        </w:rPr>
        <w:t>BWP: PEC = 1:5时，</w:t>
      </w:r>
      <w:r>
        <w:rPr>
          <w:rFonts w:ascii="宋体" w:hAnsi="宋体" w:hint="eastAsia"/>
          <w:color w:val="060607"/>
          <w:kern w:val="0"/>
          <w:sz w:val="24"/>
          <w:szCs w:val="24"/>
        </w:rPr>
        <w:t>绿原酸</w:t>
      </w:r>
      <w:r>
        <w:rPr>
          <w:rFonts w:ascii="宋体" w:hAnsi="宋体"/>
          <w:color w:val="060607"/>
          <w:kern w:val="0"/>
          <w:sz w:val="24"/>
          <w:szCs w:val="24"/>
        </w:rPr>
        <w:t>包封率最高，为94.52±0.57%。</w:t>
      </w:r>
      <w:r>
        <w:rPr>
          <w:rFonts w:ascii="宋体" w:hAnsi="宋体" w:hint="eastAsia"/>
          <w:color w:val="060607"/>
          <w:kern w:val="0"/>
          <w:sz w:val="24"/>
          <w:szCs w:val="24"/>
        </w:rPr>
        <w:t>当外水相中</w:t>
      </w:r>
      <w:r>
        <w:rPr>
          <w:rFonts w:ascii="宋体" w:hAnsi="宋体"/>
          <w:color w:val="060607"/>
          <w:kern w:val="0"/>
          <w:sz w:val="24"/>
          <w:szCs w:val="24"/>
        </w:rPr>
        <w:t>BWP: PEC = 1:</w:t>
      </w:r>
      <w:r>
        <w:rPr>
          <w:rFonts w:ascii="宋体" w:hAnsi="宋体" w:hint="eastAsia"/>
          <w:color w:val="060607"/>
          <w:kern w:val="0"/>
          <w:sz w:val="24"/>
          <w:szCs w:val="24"/>
        </w:rPr>
        <w:t>3</w:t>
      </w:r>
      <w:r>
        <w:rPr>
          <w:rFonts w:ascii="宋体" w:hAnsi="宋体"/>
          <w:color w:val="060607"/>
          <w:kern w:val="0"/>
          <w:sz w:val="24"/>
          <w:szCs w:val="24"/>
        </w:rPr>
        <w:t>时</w:t>
      </w:r>
      <w:r>
        <w:rPr>
          <w:rFonts w:ascii="宋体" w:hAnsi="宋体" w:hint="eastAsia"/>
          <w:color w:val="060607"/>
          <w:kern w:val="0"/>
          <w:sz w:val="24"/>
          <w:szCs w:val="24"/>
        </w:rPr>
        <w:t>，为88.18</w:t>
      </w:r>
      <w:r>
        <w:rPr>
          <w:rFonts w:ascii="宋体" w:hAnsi="宋体"/>
          <w:color w:val="060607"/>
          <w:kern w:val="0"/>
          <w:sz w:val="24"/>
          <w:szCs w:val="24"/>
        </w:rPr>
        <w:t>±</w:t>
      </w:r>
      <w:r>
        <w:rPr>
          <w:rFonts w:ascii="宋体" w:hAnsi="宋体" w:hint="eastAsia"/>
          <w:color w:val="060607"/>
          <w:kern w:val="0"/>
          <w:sz w:val="24"/>
          <w:szCs w:val="24"/>
        </w:rPr>
        <w:t>0.18%，当外水相中</w:t>
      </w:r>
      <w:r>
        <w:rPr>
          <w:rFonts w:ascii="宋体" w:hAnsi="宋体"/>
          <w:color w:val="060607"/>
          <w:kern w:val="0"/>
          <w:sz w:val="24"/>
          <w:szCs w:val="24"/>
        </w:rPr>
        <w:t>BWP: PEC = 1:</w:t>
      </w:r>
      <w:r>
        <w:rPr>
          <w:rFonts w:ascii="宋体" w:hAnsi="宋体" w:hint="eastAsia"/>
          <w:color w:val="060607"/>
          <w:kern w:val="0"/>
          <w:sz w:val="24"/>
          <w:szCs w:val="24"/>
        </w:rPr>
        <w:t>1</w:t>
      </w:r>
      <w:r>
        <w:rPr>
          <w:rFonts w:ascii="宋体" w:hAnsi="宋体"/>
          <w:color w:val="060607"/>
          <w:kern w:val="0"/>
          <w:sz w:val="24"/>
          <w:szCs w:val="24"/>
        </w:rPr>
        <w:t>时</w:t>
      </w:r>
      <w:r>
        <w:rPr>
          <w:rFonts w:ascii="宋体" w:hAnsi="宋体" w:hint="eastAsia"/>
          <w:color w:val="060607"/>
          <w:kern w:val="0"/>
          <w:sz w:val="24"/>
          <w:szCs w:val="24"/>
        </w:rPr>
        <w:t>，为68.85</w:t>
      </w:r>
      <w:r>
        <w:rPr>
          <w:rFonts w:ascii="宋体" w:hAnsi="宋体"/>
          <w:color w:val="060607"/>
          <w:kern w:val="0"/>
          <w:sz w:val="24"/>
          <w:szCs w:val="24"/>
        </w:rPr>
        <w:t>±</w:t>
      </w:r>
      <w:r>
        <w:rPr>
          <w:rFonts w:ascii="宋体" w:hAnsi="宋体" w:hint="eastAsia"/>
          <w:color w:val="060607"/>
          <w:kern w:val="0"/>
          <w:sz w:val="24"/>
          <w:szCs w:val="24"/>
        </w:rPr>
        <w:t>0.45%，当外水相中</w:t>
      </w:r>
      <w:r>
        <w:rPr>
          <w:rFonts w:ascii="宋体" w:hAnsi="宋体"/>
          <w:color w:val="060607"/>
          <w:kern w:val="0"/>
          <w:sz w:val="24"/>
          <w:szCs w:val="24"/>
        </w:rPr>
        <w:t xml:space="preserve">BWP: PEC = </w:t>
      </w:r>
      <w:r>
        <w:rPr>
          <w:rFonts w:ascii="宋体" w:hAnsi="宋体" w:hint="eastAsia"/>
          <w:color w:val="060607"/>
          <w:kern w:val="0"/>
          <w:sz w:val="24"/>
          <w:szCs w:val="24"/>
        </w:rPr>
        <w:t>3</w:t>
      </w:r>
      <w:r>
        <w:rPr>
          <w:rFonts w:ascii="宋体" w:hAnsi="宋体"/>
          <w:color w:val="060607"/>
          <w:kern w:val="0"/>
          <w:sz w:val="24"/>
          <w:szCs w:val="24"/>
        </w:rPr>
        <w:t>:</w:t>
      </w:r>
      <w:r>
        <w:rPr>
          <w:rFonts w:ascii="宋体" w:hAnsi="宋体" w:hint="eastAsia"/>
          <w:color w:val="060607"/>
          <w:kern w:val="0"/>
          <w:sz w:val="24"/>
          <w:szCs w:val="24"/>
        </w:rPr>
        <w:t>1</w:t>
      </w:r>
      <w:r>
        <w:rPr>
          <w:rFonts w:ascii="宋体" w:hAnsi="宋体"/>
          <w:color w:val="060607"/>
          <w:kern w:val="0"/>
          <w:sz w:val="24"/>
          <w:szCs w:val="24"/>
        </w:rPr>
        <w:t>时</w:t>
      </w:r>
      <w:r>
        <w:rPr>
          <w:rFonts w:ascii="宋体" w:hAnsi="宋体" w:hint="eastAsia"/>
          <w:color w:val="060607"/>
          <w:kern w:val="0"/>
          <w:sz w:val="24"/>
          <w:szCs w:val="24"/>
        </w:rPr>
        <w:t>，为78.02</w:t>
      </w:r>
      <w:r>
        <w:rPr>
          <w:rFonts w:ascii="宋体" w:hAnsi="宋体"/>
          <w:color w:val="060607"/>
          <w:kern w:val="0"/>
          <w:sz w:val="24"/>
          <w:szCs w:val="24"/>
        </w:rPr>
        <w:t>±</w:t>
      </w:r>
      <w:r>
        <w:rPr>
          <w:rFonts w:ascii="宋体" w:hAnsi="宋体" w:hint="eastAsia"/>
          <w:color w:val="060607"/>
          <w:kern w:val="0"/>
          <w:sz w:val="24"/>
          <w:szCs w:val="24"/>
        </w:rPr>
        <w:t>0.35%，当外水相中</w:t>
      </w:r>
      <w:r>
        <w:rPr>
          <w:rFonts w:ascii="宋体" w:hAnsi="宋体"/>
          <w:color w:val="060607"/>
          <w:kern w:val="0"/>
          <w:sz w:val="24"/>
          <w:szCs w:val="24"/>
        </w:rPr>
        <w:t xml:space="preserve">BWP: PEC = </w:t>
      </w:r>
      <w:r>
        <w:rPr>
          <w:rFonts w:ascii="宋体" w:hAnsi="宋体" w:hint="eastAsia"/>
          <w:color w:val="060607"/>
          <w:kern w:val="0"/>
          <w:sz w:val="24"/>
          <w:szCs w:val="24"/>
        </w:rPr>
        <w:t>5</w:t>
      </w:r>
      <w:r>
        <w:rPr>
          <w:rFonts w:ascii="宋体" w:hAnsi="宋体"/>
          <w:color w:val="060607"/>
          <w:kern w:val="0"/>
          <w:sz w:val="24"/>
          <w:szCs w:val="24"/>
        </w:rPr>
        <w:t>:</w:t>
      </w:r>
      <w:r>
        <w:rPr>
          <w:rFonts w:ascii="宋体" w:hAnsi="宋体" w:hint="eastAsia"/>
          <w:color w:val="060607"/>
          <w:kern w:val="0"/>
          <w:sz w:val="24"/>
          <w:szCs w:val="24"/>
        </w:rPr>
        <w:t>1</w:t>
      </w:r>
      <w:r>
        <w:rPr>
          <w:rFonts w:ascii="宋体" w:hAnsi="宋体"/>
          <w:color w:val="060607"/>
          <w:kern w:val="0"/>
          <w:sz w:val="24"/>
          <w:szCs w:val="24"/>
        </w:rPr>
        <w:t>时</w:t>
      </w:r>
      <w:r>
        <w:rPr>
          <w:rFonts w:ascii="宋体" w:hAnsi="宋体" w:hint="eastAsia"/>
          <w:color w:val="060607"/>
          <w:kern w:val="0"/>
          <w:sz w:val="24"/>
          <w:szCs w:val="24"/>
        </w:rPr>
        <w:t xml:space="preserve">，为71.69 </w:t>
      </w:r>
      <w:r>
        <w:rPr>
          <w:rFonts w:ascii="宋体" w:hAnsi="宋体"/>
          <w:color w:val="060607"/>
          <w:kern w:val="0"/>
          <w:sz w:val="24"/>
          <w:szCs w:val="24"/>
        </w:rPr>
        <w:t>±</w:t>
      </w:r>
      <w:r>
        <w:rPr>
          <w:rFonts w:ascii="宋体" w:hAnsi="宋体" w:hint="eastAsia"/>
          <w:color w:val="060607"/>
          <w:kern w:val="0"/>
          <w:sz w:val="24"/>
          <w:szCs w:val="24"/>
        </w:rPr>
        <w:t>0.22%。</w:t>
      </w:r>
    </w:p>
    <w:p w14:paraId="651B6710"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实施例1-5制备的水包油包水型复合乳液</w:t>
      </w:r>
      <w:r>
        <w:rPr>
          <w:rFonts w:ascii="宋体" w:hAnsi="宋体"/>
          <w:color w:val="060607"/>
          <w:kern w:val="0"/>
          <w:sz w:val="24"/>
          <w:szCs w:val="24"/>
        </w:rPr>
        <w:t>的弹性模量随角频率变化曲线</w:t>
      </w:r>
      <w:r>
        <w:rPr>
          <w:rFonts w:ascii="宋体" w:hAnsi="宋体" w:hint="eastAsia"/>
          <w:color w:val="060607"/>
          <w:kern w:val="0"/>
          <w:sz w:val="24"/>
          <w:szCs w:val="24"/>
        </w:rPr>
        <w:t>如图4所示，在流变仪底板上放置0.7mL乳液，通过在线性粘弹性范围内保持0.1%的恒定应变，并将角频率从0.1到100rad/变化，来监测储能模量和损耗模量。当BWP: PEC = 1:5、1:3和5:1时，乳液的储能模量均高于损耗模量，且均表现出弹性行为，且无频率交叉，表明可能形成类似于凝胶的凝胶网络结构，这说明乳液中PEC的比例越高，越有利于在乳液中形成类似水凝胶的网状结构。</w:t>
      </w:r>
    </w:p>
    <w:p w14:paraId="674DB058"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实施例1-5制备的水包油包水型复合乳液</w:t>
      </w:r>
      <w:r>
        <w:rPr>
          <w:rFonts w:ascii="宋体" w:hAnsi="宋体"/>
          <w:color w:val="060607"/>
          <w:kern w:val="0"/>
          <w:sz w:val="24"/>
          <w:szCs w:val="24"/>
        </w:rPr>
        <w:t>的</w:t>
      </w:r>
      <w:r>
        <w:rPr>
          <w:rFonts w:ascii="宋体" w:hAnsi="宋体" w:hint="eastAsia"/>
          <w:color w:val="060607"/>
          <w:kern w:val="0"/>
          <w:sz w:val="24"/>
          <w:szCs w:val="24"/>
        </w:rPr>
        <w:t>表面黏度</w:t>
      </w:r>
      <w:r>
        <w:rPr>
          <w:rFonts w:ascii="宋体" w:hAnsi="宋体"/>
          <w:color w:val="060607"/>
          <w:kern w:val="0"/>
          <w:sz w:val="24"/>
          <w:szCs w:val="24"/>
        </w:rPr>
        <w:t>随</w:t>
      </w:r>
      <w:r>
        <w:rPr>
          <w:rFonts w:ascii="宋体" w:hAnsi="宋体" w:hint="eastAsia"/>
          <w:color w:val="060607"/>
          <w:kern w:val="0"/>
          <w:sz w:val="24"/>
          <w:szCs w:val="24"/>
        </w:rPr>
        <w:t>剪切</w:t>
      </w:r>
      <w:r>
        <w:rPr>
          <w:rFonts w:ascii="宋体" w:hAnsi="宋体"/>
          <w:color w:val="060607"/>
          <w:kern w:val="0"/>
          <w:sz w:val="24"/>
          <w:szCs w:val="24"/>
        </w:rPr>
        <w:t>频率变化曲线如图</w:t>
      </w:r>
      <w:r>
        <w:rPr>
          <w:rFonts w:ascii="宋体" w:hAnsi="宋体" w:hint="eastAsia"/>
          <w:color w:val="060607"/>
          <w:kern w:val="0"/>
          <w:sz w:val="24"/>
          <w:szCs w:val="24"/>
        </w:rPr>
        <w:t>5</w:t>
      </w:r>
      <w:r>
        <w:rPr>
          <w:rFonts w:ascii="宋体" w:hAnsi="宋体"/>
          <w:color w:val="060607"/>
          <w:kern w:val="0"/>
          <w:sz w:val="24"/>
          <w:szCs w:val="24"/>
        </w:rPr>
        <w:t>所示</w:t>
      </w:r>
      <w:r>
        <w:rPr>
          <w:rFonts w:ascii="宋体" w:hAnsi="宋体" w:hint="eastAsia"/>
          <w:color w:val="060607"/>
          <w:kern w:val="0"/>
          <w:sz w:val="24"/>
          <w:szCs w:val="24"/>
        </w:rPr>
        <w:t>，在流变仪底板上放置0.7mL乳液，在25℃下调节剪切速率至0.1-100s</w:t>
      </w:r>
      <w:r w:rsidRPr="003F1908">
        <w:rPr>
          <w:rFonts w:ascii="宋体" w:hAnsi="宋体" w:hint="eastAsia"/>
          <w:color w:val="060607"/>
          <w:kern w:val="0"/>
          <w:sz w:val="24"/>
          <w:szCs w:val="24"/>
          <w:vertAlign w:val="superscript"/>
        </w:rPr>
        <w:t>-1</w:t>
      </w:r>
      <w:r>
        <w:rPr>
          <w:rFonts w:ascii="宋体" w:hAnsi="宋体" w:hint="eastAsia"/>
          <w:color w:val="060607"/>
          <w:kern w:val="0"/>
          <w:sz w:val="24"/>
          <w:szCs w:val="24"/>
        </w:rPr>
        <w:t>，记录粘度变化。随着剪切速率的增加，乳液样品的黏度均呈下降趋势，符合假塑性流体的特征。在0～10 s</w:t>
      </w:r>
      <w:r>
        <w:rPr>
          <w:rFonts w:ascii="宋体" w:hAnsi="宋体" w:hint="eastAsia"/>
          <w:color w:val="060607"/>
          <w:kern w:val="0"/>
          <w:sz w:val="24"/>
          <w:szCs w:val="24"/>
          <w:vertAlign w:val="superscript"/>
        </w:rPr>
        <w:t>-1</w:t>
      </w:r>
      <w:r>
        <w:rPr>
          <w:rFonts w:ascii="宋体" w:hAnsi="宋体" w:hint="eastAsia"/>
          <w:color w:val="060607"/>
          <w:kern w:val="0"/>
          <w:sz w:val="24"/>
          <w:szCs w:val="24"/>
        </w:rPr>
        <w:t>剪切速率范围内，乳状液黏度急剧下降，表现出明显的剪切减薄特征。BWP: PEC = 1:3的乳液粘度最高，BWP: PEC = 1:5的乳液粘度次之。</w:t>
      </w:r>
    </w:p>
    <w:p w14:paraId="2A731083"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实施例1-5制备的水包油包水型复合乳液样品在分析前用超纯水稀释100倍。检测粒径的测试波长为623 nm，检测角度为90°；如图6a所示，随着PEC比例的增加，乳液的整体粒径由逐渐变大，这与乳液的黏度紧密相关；当BWP: PEC=1:5时，乳剂的PDI最小，分散性最佳。检测乳液电位时设置zeta电位检测电压为150 V，每个测试循环20次，计算平均值。如图6b所示，所有乳液的Zeta电位均为负值，绝对值均大于15 mV，说明所有乳液体系均具有较好的短期稳定性。</w:t>
      </w:r>
    </w:p>
    <w:p w14:paraId="1B4D44B0"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采用2,2-二苯基-1-苦基</w:t>
      </w:r>
      <w:proofErr w:type="gramStart"/>
      <w:r>
        <w:rPr>
          <w:rFonts w:ascii="宋体" w:hAnsi="宋体" w:hint="eastAsia"/>
          <w:color w:val="060607"/>
          <w:kern w:val="0"/>
          <w:sz w:val="24"/>
          <w:szCs w:val="24"/>
        </w:rPr>
        <w:t>肼</w:t>
      </w:r>
      <w:proofErr w:type="gramEnd"/>
      <w:r>
        <w:rPr>
          <w:rFonts w:ascii="宋体" w:hAnsi="宋体" w:hint="eastAsia"/>
          <w:color w:val="060607"/>
          <w:kern w:val="0"/>
          <w:sz w:val="24"/>
          <w:szCs w:val="24"/>
        </w:rPr>
        <w:t>基（DPPH）、</w:t>
      </w:r>
      <w:r w:rsidRPr="003F1908">
        <w:rPr>
          <w:rFonts w:ascii="宋体" w:hAnsi="宋体"/>
          <w:color w:val="060607"/>
          <w:kern w:val="0"/>
          <w:sz w:val="24"/>
          <w:szCs w:val="24"/>
        </w:rPr>
        <w:t>2,2'-</w:t>
      </w:r>
      <w:r w:rsidRPr="003F1908">
        <w:rPr>
          <w:rFonts w:ascii="宋体" w:hAnsi="宋体" w:hint="eastAsia"/>
          <w:color w:val="060607"/>
          <w:kern w:val="0"/>
          <w:sz w:val="24"/>
          <w:szCs w:val="24"/>
        </w:rPr>
        <w:t>联氨基二</w:t>
      </w:r>
      <w:r w:rsidRPr="003F1908">
        <w:rPr>
          <w:rFonts w:ascii="宋体" w:hAnsi="宋体"/>
          <w:color w:val="060607"/>
          <w:kern w:val="0"/>
          <w:sz w:val="24"/>
          <w:szCs w:val="24"/>
        </w:rPr>
        <w:t xml:space="preserve"> (3-</w:t>
      </w:r>
      <w:r w:rsidRPr="003F1908">
        <w:rPr>
          <w:rFonts w:ascii="宋体" w:hAnsi="宋体" w:hint="eastAsia"/>
          <w:color w:val="060607"/>
          <w:kern w:val="0"/>
          <w:sz w:val="24"/>
          <w:szCs w:val="24"/>
        </w:rPr>
        <w:t>乙基苯并噻唑</w:t>
      </w:r>
      <w:proofErr w:type="gramStart"/>
      <w:r w:rsidRPr="003F1908">
        <w:rPr>
          <w:rFonts w:ascii="宋体" w:hAnsi="宋体" w:hint="eastAsia"/>
          <w:color w:val="060607"/>
          <w:kern w:val="0"/>
          <w:sz w:val="24"/>
          <w:szCs w:val="24"/>
        </w:rPr>
        <w:t>啉</w:t>
      </w:r>
      <w:proofErr w:type="gramEnd"/>
      <w:r w:rsidRPr="003F1908">
        <w:rPr>
          <w:rFonts w:ascii="宋体" w:hAnsi="宋体"/>
          <w:color w:val="060607"/>
          <w:kern w:val="0"/>
          <w:sz w:val="24"/>
          <w:szCs w:val="24"/>
        </w:rPr>
        <w:t>-6-</w:t>
      </w:r>
      <w:r w:rsidRPr="003F1908">
        <w:rPr>
          <w:rFonts w:ascii="宋体" w:hAnsi="宋体" w:hint="eastAsia"/>
          <w:color w:val="060607"/>
          <w:kern w:val="0"/>
          <w:sz w:val="24"/>
          <w:szCs w:val="24"/>
        </w:rPr>
        <w:t>磺酸</w:t>
      </w:r>
      <w:r w:rsidRPr="003F1908">
        <w:rPr>
          <w:rFonts w:ascii="宋体" w:hAnsi="宋体"/>
          <w:color w:val="060607"/>
          <w:kern w:val="0"/>
          <w:sz w:val="24"/>
          <w:szCs w:val="24"/>
        </w:rPr>
        <w:t>)</w:t>
      </w:r>
      <w:r>
        <w:rPr>
          <w:rFonts w:ascii="宋体" w:hAnsi="宋体" w:hint="eastAsia"/>
          <w:color w:val="060607"/>
          <w:kern w:val="0"/>
          <w:sz w:val="24"/>
          <w:szCs w:val="24"/>
        </w:rPr>
        <w:t>（ABTS）测定实施例1-5制备的水包油包水型复合乳液的抗氧化性；结果如图7所示，</w:t>
      </w:r>
      <w:r>
        <w:rPr>
          <w:rFonts w:ascii="宋体" w:hAnsi="宋体"/>
          <w:color w:val="060607"/>
          <w:kern w:val="0"/>
          <w:sz w:val="24"/>
          <w:szCs w:val="24"/>
        </w:rPr>
        <w:t>所有</w:t>
      </w:r>
      <w:r>
        <w:rPr>
          <w:rFonts w:ascii="宋体" w:hAnsi="宋体" w:hint="eastAsia"/>
          <w:color w:val="060607"/>
          <w:kern w:val="0"/>
          <w:sz w:val="24"/>
          <w:szCs w:val="24"/>
        </w:rPr>
        <w:t>乳液</w:t>
      </w:r>
      <w:r>
        <w:rPr>
          <w:rFonts w:ascii="宋体" w:hAnsi="宋体"/>
          <w:color w:val="060607"/>
          <w:kern w:val="0"/>
          <w:sz w:val="24"/>
          <w:szCs w:val="24"/>
        </w:rPr>
        <w:t>均表现出优异的抗氧化活性，</w:t>
      </w:r>
      <w:r>
        <w:rPr>
          <w:rFonts w:ascii="宋体" w:hAnsi="宋体" w:hint="eastAsia"/>
          <w:color w:val="060607"/>
          <w:kern w:val="0"/>
          <w:sz w:val="24"/>
          <w:szCs w:val="24"/>
        </w:rPr>
        <w:t>DPPH和ABTS自由基清除活性</w:t>
      </w:r>
      <w:r>
        <w:rPr>
          <w:rFonts w:ascii="宋体" w:hAnsi="宋体"/>
          <w:color w:val="060607"/>
          <w:kern w:val="0"/>
          <w:sz w:val="24"/>
          <w:szCs w:val="24"/>
        </w:rPr>
        <w:t>显著高于</w:t>
      </w:r>
      <w:r>
        <w:rPr>
          <w:rFonts w:ascii="宋体" w:hAnsi="宋体" w:hint="eastAsia"/>
          <w:color w:val="060607"/>
          <w:kern w:val="0"/>
          <w:sz w:val="24"/>
          <w:szCs w:val="24"/>
        </w:rPr>
        <w:t>等浓度的</w:t>
      </w:r>
      <w:r>
        <w:rPr>
          <w:rFonts w:ascii="宋体" w:hAnsi="宋体"/>
          <w:color w:val="060607"/>
          <w:kern w:val="0"/>
          <w:sz w:val="24"/>
          <w:szCs w:val="24"/>
        </w:rPr>
        <w:t>水溶性</w:t>
      </w:r>
      <w:r>
        <w:rPr>
          <w:rFonts w:ascii="宋体" w:hAnsi="宋体" w:hint="eastAsia"/>
          <w:color w:val="060607"/>
          <w:kern w:val="0"/>
          <w:sz w:val="24"/>
          <w:szCs w:val="24"/>
        </w:rPr>
        <w:t>绿原酸（CGA）。如图7a所示，</w:t>
      </w:r>
      <w:r>
        <w:rPr>
          <w:rFonts w:ascii="宋体" w:hAnsi="宋体"/>
          <w:color w:val="060607"/>
          <w:kern w:val="0"/>
          <w:sz w:val="24"/>
          <w:szCs w:val="24"/>
        </w:rPr>
        <w:t>当BWP: PEC = 3:1和1:5时，</w:t>
      </w:r>
      <w:r>
        <w:rPr>
          <w:rFonts w:ascii="宋体" w:hAnsi="宋体" w:hint="eastAsia"/>
          <w:color w:val="060607"/>
          <w:kern w:val="0"/>
          <w:sz w:val="24"/>
          <w:szCs w:val="24"/>
        </w:rPr>
        <w:t>乳液</w:t>
      </w:r>
      <w:r>
        <w:rPr>
          <w:rFonts w:ascii="宋体" w:hAnsi="宋体"/>
          <w:color w:val="060607"/>
          <w:kern w:val="0"/>
          <w:sz w:val="24"/>
          <w:szCs w:val="24"/>
        </w:rPr>
        <w:t xml:space="preserve">对DPPH自由基的清除能力最佳，分别为88.08±0.76%和89.12±0.85%。当BWP: PEC = </w:t>
      </w:r>
      <w:r>
        <w:rPr>
          <w:rFonts w:ascii="宋体" w:hAnsi="宋体" w:hint="eastAsia"/>
          <w:color w:val="060607"/>
          <w:kern w:val="0"/>
          <w:sz w:val="24"/>
          <w:szCs w:val="24"/>
        </w:rPr>
        <w:t>5</w:t>
      </w:r>
      <w:r>
        <w:rPr>
          <w:rFonts w:ascii="宋体" w:hAnsi="宋体"/>
          <w:color w:val="060607"/>
          <w:kern w:val="0"/>
          <w:sz w:val="24"/>
          <w:szCs w:val="24"/>
        </w:rPr>
        <w:t>:</w:t>
      </w:r>
      <w:r>
        <w:rPr>
          <w:rFonts w:ascii="宋体" w:hAnsi="宋体" w:hint="eastAsia"/>
          <w:color w:val="060607"/>
          <w:kern w:val="0"/>
          <w:sz w:val="24"/>
          <w:szCs w:val="24"/>
        </w:rPr>
        <w:t>1时，乳液</w:t>
      </w:r>
      <w:r>
        <w:rPr>
          <w:rFonts w:ascii="宋体" w:hAnsi="宋体"/>
          <w:color w:val="060607"/>
          <w:kern w:val="0"/>
          <w:sz w:val="24"/>
          <w:szCs w:val="24"/>
        </w:rPr>
        <w:t>对DPPH自由基的清除能力</w:t>
      </w:r>
      <w:r>
        <w:rPr>
          <w:rFonts w:ascii="宋体" w:hAnsi="宋体" w:hint="eastAsia"/>
          <w:color w:val="060607"/>
          <w:kern w:val="0"/>
          <w:sz w:val="24"/>
          <w:szCs w:val="24"/>
        </w:rPr>
        <w:t>为56.31</w:t>
      </w:r>
      <w:r>
        <w:rPr>
          <w:rFonts w:ascii="宋体" w:hAnsi="宋体"/>
          <w:color w:val="060607"/>
          <w:kern w:val="0"/>
          <w:sz w:val="24"/>
          <w:szCs w:val="24"/>
        </w:rPr>
        <w:t>±</w:t>
      </w:r>
      <w:r>
        <w:rPr>
          <w:rFonts w:ascii="宋体" w:hAnsi="宋体" w:hint="eastAsia"/>
          <w:color w:val="060607"/>
          <w:kern w:val="0"/>
          <w:sz w:val="24"/>
          <w:szCs w:val="24"/>
        </w:rPr>
        <w:t>1.19%；</w:t>
      </w:r>
      <w:r>
        <w:rPr>
          <w:rFonts w:ascii="宋体" w:hAnsi="宋体"/>
          <w:color w:val="060607"/>
          <w:kern w:val="0"/>
          <w:sz w:val="24"/>
          <w:szCs w:val="24"/>
        </w:rPr>
        <w:t xml:space="preserve">当BWP: PEC = </w:t>
      </w:r>
      <w:r>
        <w:rPr>
          <w:rFonts w:ascii="宋体" w:hAnsi="宋体" w:hint="eastAsia"/>
          <w:color w:val="060607"/>
          <w:kern w:val="0"/>
          <w:sz w:val="24"/>
          <w:szCs w:val="24"/>
        </w:rPr>
        <w:t>1</w:t>
      </w:r>
      <w:r>
        <w:rPr>
          <w:rFonts w:ascii="宋体" w:hAnsi="宋体"/>
          <w:color w:val="060607"/>
          <w:kern w:val="0"/>
          <w:sz w:val="24"/>
          <w:szCs w:val="24"/>
        </w:rPr>
        <w:t>:</w:t>
      </w:r>
      <w:r>
        <w:rPr>
          <w:rFonts w:ascii="宋体" w:hAnsi="宋体" w:hint="eastAsia"/>
          <w:color w:val="060607"/>
          <w:kern w:val="0"/>
          <w:sz w:val="24"/>
          <w:szCs w:val="24"/>
        </w:rPr>
        <w:t>3时，乳液</w:t>
      </w:r>
      <w:r>
        <w:rPr>
          <w:rFonts w:ascii="宋体" w:hAnsi="宋体"/>
          <w:color w:val="060607"/>
          <w:kern w:val="0"/>
          <w:sz w:val="24"/>
          <w:szCs w:val="24"/>
        </w:rPr>
        <w:t>对DPPH自由基的清除能力</w:t>
      </w:r>
      <w:r>
        <w:rPr>
          <w:rFonts w:ascii="宋体" w:hAnsi="宋体" w:hint="eastAsia"/>
          <w:color w:val="060607"/>
          <w:kern w:val="0"/>
          <w:sz w:val="24"/>
          <w:szCs w:val="24"/>
        </w:rPr>
        <w:t>为82.37</w:t>
      </w:r>
      <w:r>
        <w:rPr>
          <w:rFonts w:ascii="宋体" w:hAnsi="宋体"/>
          <w:color w:val="060607"/>
          <w:kern w:val="0"/>
          <w:sz w:val="24"/>
          <w:szCs w:val="24"/>
        </w:rPr>
        <w:t>±</w:t>
      </w:r>
      <w:r>
        <w:rPr>
          <w:rFonts w:ascii="宋体" w:hAnsi="宋体" w:hint="eastAsia"/>
          <w:color w:val="060607"/>
          <w:kern w:val="0"/>
          <w:sz w:val="24"/>
          <w:szCs w:val="24"/>
        </w:rPr>
        <w:t>4.86%；</w:t>
      </w:r>
      <w:r>
        <w:rPr>
          <w:rFonts w:ascii="宋体" w:hAnsi="宋体"/>
          <w:color w:val="060607"/>
          <w:kern w:val="0"/>
          <w:sz w:val="24"/>
          <w:szCs w:val="24"/>
        </w:rPr>
        <w:t xml:space="preserve">当BWP: PEC = </w:t>
      </w:r>
      <w:r>
        <w:rPr>
          <w:rFonts w:ascii="宋体" w:hAnsi="宋体" w:hint="eastAsia"/>
          <w:color w:val="060607"/>
          <w:kern w:val="0"/>
          <w:sz w:val="24"/>
          <w:szCs w:val="24"/>
        </w:rPr>
        <w:t>1</w:t>
      </w:r>
      <w:r>
        <w:rPr>
          <w:rFonts w:ascii="宋体" w:hAnsi="宋体"/>
          <w:color w:val="060607"/>
          <w:kern w:val="0"/>
          <w:sz w:val="24"/>
          <w:szCs w:val="24"/>
        </w:rPr>
        <w:t>:</w:t>
      </w:r>
      <w:r>
        <w:rPr>
          <w:rFonts w:ascii="宋体" w:hAnsi="宋体" w:hint="eastAsia"/>
          <w:color w:val="060607"/>
          <w:kern w:val="0"/>
          <w:sz w:val="24"/>
          <w:szCs w:val="24"/>
        </w:rPr>
        <w:t>1时，乳液</w:t>
      </w:r>
      <w:r>
        <w:rPr>
          <w:rFonts w:ascii="宋体" w:hAnsi="宋体"/>
          <w:color w:val="060607"/>
          <w:kern w:val="0"/>
          <w:sz w:val="24"/>
          <w:szCs w:val="24"/>
        </w:rPr>
        <w:t>对DPPH自由基的清除能力</w:t>
      </w:r>
      <w:r>
        <w:rPr>
          <w:rFonts w:ascii="宋体" w:hAnsi="宋体" w:hint="eastAsia"/>
          <w:color w:val="060607"/>
          <w:kern w:val="0"/>
          <w:sz w:val="24"/>
          <w:szCs w:val="24"/>
        </w:rPr>
        <w:t>为71.24</w:t>
      </w:r>
      <w:r>
        <w:rPr>
          <w:rFonts w:ascii="宋体" w:hAnsi="宋体"/>
          <w:color w:val="060607"/>
          <w:kern w:val="0"/>
          <w:sz w:val="24"/>
          <w:szCs w:val="24"/>
        </w:rPr>
        <w:t>±</w:t>
      </w:r>
      <w:r>
        <w:rPr>
          <w:rFonts w:ascii="宋体" w:hAnsi="宋体" w:hint="eastAsia"/>
          <w:color w:val="060607"/>
          <w:kern w:val="0"/>
          <w:sz w:val="24"/>
          <w:szCs w:val="24"/>
        </w:rPr>
        <w:t>3.50%。</w:t>
      </w:r>
    </w:p>
    <w:p w14:paraId="7E50D845"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如图7b所示，</w:t>
      </w:r>
      <w:r>
        <w:rPr>
          <w:rFonts w:ascii="宋体" w:hAnsi="宋体"/>
          <w:color w:val="060607"/>
          <w:kern w:val="0"/>
          <w:sz w:val="24"/>
          <w:szCs w:val="24"/>
        </w:rPr>
        <w:t>当BWP: PEC =</w:t>
      </w:r>
      <w:r>
        <w:rPr>
          <w:rFonts w:ascii="宋体" w:hAnsi="宋体" w:hint="eastAsia"/>
          <w:color w:val="060607"/>
          <w:kern w:val="0"/>
          <w:sz w:val="24"/>
          <w:szCs w:val="24"/>
        </w:rPr>
        <w:t>1:1时乳液</w:t>
      </w:r>
      <w:r>
        <w:rPr>
          <w:rFonts w:ascii="宋体" w:hAnsi="宋体"/>
          <w:color w:val="060607"/>
          <w:kern w:val="0"/>
          <w:sz w:val="24"/>
          <w:szCs w:val="24"/>
        </w:rPr>
        <w:t>对</w:t>
      </w:r>
      <w:r>
        <w:rPr>
          <w:rFonts w:ascii="宋体" w:hAnsi="宋体" w:hint="eastAsia"/>
          <w:color w:val="060607"/>
          <w:kern w:val="0"/>
          <w:sz w:val="24"/>
          <w:szCs w:val="24"/>
        </w:rPr>
        <w:t>ABTS</w:t>
      </w:r>
      <w:r>
        <w:rPr>
          <w:rFonts w:ascii="宋体" w:hAnsi="宋体"/>
          <w:color w:val="060607"/>
          <w:kern w:val="0"/>
          <w:sz w:val="24"/>
          <w:szCs w:val="24"/>
        </w:rPr>
        <w:t>自由基的清除能力最佳，为</w:t>
      </w:r>
      <w:r>
        <w:rPr>
          <w:rFonts w:ascii="宋体" w:hAnsi="宋体" w:hint="eastAsia"/>
          <w:color w:val="060607"/>
          <w:kern w:val="0"/>
          <w:sz w:val="24"/>
          <w:szCs w:val="24"/>
        </w:rPr>
        <w:t>51.43</w:t>
      </w:r>
      <w:r>
        <w:rPr>
          <w:rFonts w:ascii="宋体" w:hAnsi="宋体"/>
          <w:color w:val="060607"/>
          <w:kern w:val="0"/>
          <w:sz w:val="24"/>
          <w:szCs w:val="24"/>
        </w:rPr>
        <w:t>±</w:t>
      </w:r>
      <w:r>
        <w:rPr>
          <w:rFonts w:ascii="宋体" w:hAnsi="宋体" w:hint="eastAsia"/>
          <w:color w:val="060607"/>
          <w:kern w:val="0"/>
          <w:sz w:val="24"/>
          <w:szCs w:val="24"/>
        </w:rPr>
        <w:t>2.43%。</w:t>
      </w:r>
      <w:r>
        <w:rPr>
          <w:rFonts w:ascii="宋体" w:hAnsi="宋体"/>
          <w:color w:val="060607"/>
          <w:kern w:val="0"/>
          <w:sz w:val="24"/>
          <w:szCs w:val="24"/>
        </w:rPr>
        <w:t>当BWP: PEC =</w:t>
      </w:r>
      <w:r>
        <w:rPr>
          <w:rFonts w:ascii="宋体" w:hAnsi="宋体" w:hint="eastAsia"/>
          <w:color w:val="060607"/>
          <w:kern w:val="0"/>
          <w:sz w:val="24"/>
          <w:szCs w:val="24"/>
        </w:rPr>
        <w:t>1：3时乳液</w:t>
      </w:r>
      <w:r>
        <w:rPr>
          <w:rFonts w:ascii="宋体" w:hAnsi="宋体"/>
          <w:color w:val="060607"/>
          <w:kern w:val="0"/>
          <w:sz w:val="24"/>
          <w:szCs w:val="24"/>
        </w:rPr>
        <w:t>对</w:t>
      </w:r>
      <w:r>
        <w:rPr>
          <w:rFonts w:ascii="宋体" w:hAnsi="宋体" w:hint="eastAsia"/>
          <w:color w:val="060607"/>
          <w:kern w:val="0"/>
          <w:sz w:val="24"/>
          <w:szCs w:val="24"/>
        </w:rPr>
        <w:t>ABTS</w:t>
      </w:r>
      <w:r>
        <w:rPr>
          <w:rFonts w:ascii="宋体" w:hAnsi="宋体"/>
          <w:color w:val="060607"/>
          <w:kern w:val="0"/>
          <w:sz w:val="24"/>
          <w:szCs w:val="24"/>
        </w:rPr>
        <w:t>自由基的清除能力为</w:t>
      </w:r>
      <w:r>
        <w:rPr>
          <w:rFonts w:ascii="宋体" w:hAnsi="宋体" w:hint="eastAsia"/>
          <w:color w:val="060607"/>
          <w:kern w:val="0"/>
          <w:sz w:val="24"/>
          <w:szCs w:val="24"/>
        </w:rPr>
        <w:t>47.80</w:t>
      </w:r>
      <w:r>
        <w:rPr>
          <w:rFonts w:ascii="宋体" w:hAnsi="宋体"/>
          <w:color w:val="060607"/>
          <w:kern w:val="0"/>
          <w:sz w:val="24"/>
          <w:szCs w:val="24"/>
        </w:rPr>
        <w:t>±</w:t>
      </w:r>
      <w:r>
        <w:rPr>
          <w:rFonts w:ascii="宋体" w:hAnsi="宋体" w:hint="eastAsia"/>
          <w:color w:val="060607"/>
          <w:kern w:val="0"/>
          <w:sz w:val="24"/>
          <w:szCs w:val="24"/>
        </w:rPr>
        <w:t>3.64%。</w:t>
      </w:r>
      <w:r>
        <w:rPr>
          <w:rFonts w:ascii="宋体" w:hAnsi="宋体"/>
          <w:color w:val="060607"/>
          <w:kern w:val="0"/>
          <w:sz w:val="24"/>
          <w:szCs w:val="24"/>
        </w:rPr>
        <w:t>当BWP: PEC =</w:t>
      </w:r>
      <w:r>
        <w:rPr>
          <w:rFonts w:ascii="宋体" w:hAnsi="宋体" w:hint="eastAsia"/>
          <w:color w:val="060607"/>
          <w:kern w:val="0"/>
          <w:sz w:val="24"/>
          <w:szCs w:val="24"/>
        </w:rPr>
        <w:t>1:5时乳液</w:t>
      </w:r>
      <w:r>
        <w:rPr>
          <w:rFonts w:ascii="宋体" w:hAnsi="宋体"/>
          <w:color w:val="060607"/>
          <w:kern w:val="0"/>
          <w:sz w:val="24"/>
          <w:szCs w:val="24"/>
        </w:rPr>
        <w:t>对</w:t>
      </w:r>
      <w:r>
        <w:rPr>
          <w:rFonts w:ascii="宋体" w:hAnsi="宋体" w:hint="eastAsia"/>
          <w:color w:val="060607"/>
          <w:kern w:val="0"/>
          <w:sz w:val="24"/>
          <w:szCs w:val="24"/>
        </w:rPr>
        <w:t>ABTS</w:t>
      </w:r>
      <w:r>
        <w:rPr>
          <w:rFonts w:ascii="宋体" w:hAnsi="宋体"/>
          <w:color w:val="060607"/>
          <w:kern w:val="0"/>
          <w:sz w:val="24"/>
          <w:szCs w:val="24"/>
        </w:rPr>
        <w:t>自由基的清除能力为</w:t>
      </w:r>
      <w:r>
        <w:rPr>
          <w:rFonts w:ascii="宋体" w:hAnsi="宋体" w:hint="eastAsia"/>
          <w:color w:val="060607"/>
          <w:kern w:val="0"/>
          <w:sz w:val="24"/>
          <w:szCs w:val="24"/>
        </w:rPr>
        <w:t>46.54</w:t>
      </w:r>
      <w:r>
        <w:rPr>
          <w:rFonts w:ascii="宋体" w:hAnsi="宋体"/>
          <w:color w:val="060607"/>
          <w:kern w:val="0"/>
          <w:sz w:val="24"/>
          <w:szCs w:val="24"/>
        </w:rPr>
        <w:t>±</w:t>
      </w:r>
      <w:r>
        <w:rPr>
          <w:rFonts w:ascii="宋体" w:hAnsi="宋体" w:hint="eastAsia"/>
          <w:color w:val="060607"/>
          <w:kern w:val="0"/>
          <w:sz w:val="24"/>
          <w:szCs w:val="24"/>
        </w:rPr>
        <w:t>1.72%。</w:t>
      </w:r>
      <w:r>
        <w:rPr>
          <w:rFonts w:ascii="宋体" w:hAnsi="宋体"/>
          <w:color w:val="060607"/>
          <w:kern w:val="0"/>
          <w:sz w:val="24"/>
          <w:szCs w:val="24"/>
        </w:rPr>
        <w:t>当BWP: PEC =</w:t>
      </w:r>
      <w:r>
        <w:rPr>
          <w:rFonts w:ascii="宋体" w:hAnsi="宋体" w:hint="eastAsia"/>
          <w:color w:val="060607"/>
          <w:kern w:val="0"/>
          <w:sz w:val="24"/>
          <w:szCs w:val="24"/>
        </w:rPr>
        <w:t>3:1时乳液</w:t>
      </w:r>
      <w:r>
        <w:rPr>
          <w:rFonts w:ascii="宋体" w:hAnsi="宋体"/>
          <w:color w:val="060607"/>
          <w:kern w:val="0"/>
          <w:sz w:val="24"/>
          <w:szCs w:val="24"/>
        </w:rPr>
        <w:t>对</w:t>
      </w:r>
      <w:r>
        <w:rPr>
          <w:rFonts w:ascii="宋体" w:hAnsi="宋体" w:hint="eastAsia"/>
          <w:color w:val="060607"/>
          <w:kern w:val="0"/>
          <w:sz w:val="24"/>
          <w:szCs w:val="24"/>
        </w:rPr>
        <w:t>ABTS</w:t>
      </w:r>
      <w:r>
        <w:rPr>
          <w:rFonts w:ascii="宋体" w:hAnsi="宋体"/>
          <w:color w:val="060607"/>
          <w:kern w:val="0"/>
          <w:sz w:val="24"/>
          <w:szCs w:val="24"/>
        </w:rPr>
        <w:t>自由基的清除能力为</w:t>
      </w:r>
      <w:r>
        <w:rPr>
          <w:rFonts w:ascii="宋体" w:hAnsi="宋体" w:hint="eastAsia"/>
          <w:color w:val="060607"/>
          <w:kern w:val="0"/>
          <w:sz w:val="24"/>
          <w:szCs w:val="24"/>
        </w:rPr>
        <w:t>24.89</w:t>
      </w:r>
      <w:r>
        <w:rPr>
          <w:rFonts w:ascii="宋体" w:hAnsi="宋体"/>
          <w:color w:val="060607"/>
          <w:kern w:val="0"/>
          <w:sz w:val="24"/>
          <w:szCs w:val="24"/>
        </w:rPr>
        <w:t>±</w:t>
      </w:r>
      <w:r>
        <w:rPr>
          <w:rFonts w:ascii="宋体" w:hAnsi="宋体" w:hint="eastAsia"/>
          <w:color w:val="060607"/>
          <w:kern w:val="0"/>
          <w:sz w:val="24"/>
          <w:szCs w:val="24"/>
        </w:rPr>
        <w:t>2.19%。</w:t>
      </w:r>
      <w:r>
        <w:rPr>
          <w:rFonts w:ascii="宋体" w:hAnsi="宋体"/>
          <w:color w:val="060607"/>
          <w:kern w:val="0"/>
          <w:sz w:val="24"/>
          <w:szCs w:val="24"/>
        </w:rPr>
        <w:t>当BWP: PEC =</w:t>
      </w:r>
      <w:r>
        <w:rPr>
          <w:rFonts w:ascii="宋体" w:hAnsi="宋体" w:hint="eastAsia"/>
          <w:color w:val="060607"/>
          <w:kern w:val="0"/>
          <w:sz w:val="24"/>
          <w:szCs w:val="24"/>
        </w:rPr>
        <w:t>5:1时乳液</w:t>
      </w:r>
      <w:r>
        <w:rPr>
          <w:rFonts w:ascii="宋体" w:hAnsi="宋体"/>
          <w:color w:val="060607"/>
          <w:kern w:val="0"/>
          <w:sz w:val="24"/>
          <w:szCs w:val="24"/>
        </w:rPr>
        <w:t>对</w:t>
      </w:r>
      <w:r>
        <w:rPr>
          <w:rFonts w:ascii="宋体" w:hAnsi="宋体" w:hint="eastAsia"/>
          <w:color w:val="060607"/>
          <w:kern w:val="0"/>
          <w:sz w:val="24"/>
          <w:szCs w:val="24"/>
        </w:rPr>
        <w:t>ABTS</w:t>
      </w:r>
      <w:r>
        <w:rPr>
          <w:rFonts w:ascii="宋体" w:hAnsi="宋体"/>
          <w:color w:val="060607"/>
          <w:kern w:val="0"/>
          <w:sz w:val="24"/>
          <w:szCs w:val="24"/>
        </w:rPr>
        <w:t>自由基的清除能力为</w:t>
      </w:r>
      <w:r>
        <w:rPr>
          <w:rFonts w:ascii="宋体" w:hAnsi="宋体" w:hint="eastAsia"/>
          <w:color w:val="060607"/>
          <w:kern w:val="0"/>
          <w:sz w:val="24"/>
          <w:szCs w:val="24"/>
        </w:rPr>
        <w:t>27.0</w:t>
      </w:r>
      <w:r>
        <w:rPr>
          <w:rFonts w:ascii="宋体" w:hAnsi="宋体"/>
          <w:color w:val="060607"/>
          <w:kern w:val="0"/>
          <w:sz w:val="24"/>
          <w:szCs w:val="24"/>
        </w:rPr>
        <w:t>±</w:t>
      </w:r>
      <w:r>
        <w:rPr>
          <w:rFonts w:ascii="宋体" w:hAnsi="宋体" w:hint="eastAsia"/>
          <w:color w:val="060607"/>
          <w:kern w:val="0"/>
          <w:sz w:val="24"/>
          <w:szCs w:val="24"/>
        </w:rPr>
        <w:t>1.10%。</w:t>
      </w:r>
    </w:p>
    <w:p w14:paraId="7E85C214"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将实施例1-5制备的水包油包水型复合乳液置于90℃水浴中，于1、2、3、4、5、6 h取样，测定包封率。结果如图8所示，90</w:t>
      </w:r>
      <w:r>
        <w:rPr>
          <w:rFonts w:ascii="宋体" w:hAnsi="宋体"/>
          <w:color w:val="060607"/>
          <w:kern w:val="0"/>
          <w:sz w:val="24"/>
          <w:szCs w:val="24"/>
        </w:rPr>
        <w:t>℃</w:t>
      </w:r>
      <w:r>
        <w:rPr>
          <w:rFonts w:ascii="宋体" w:hAnsi="宋体" w:hint="eastAsia"/>
          <w:color w:val="060607"/>
          <w:kern w:val="0"/>
          <w:sz w:val="24"/>
          <w:szCs w:val="24"/>
        </w:rPr>
        <w:t>加热1h后，所有乳液的包封率均显著降低；BWP: PEC = 3:1和5:1乳液的包封率在加热过程中不断下降，直到加热4 h</w:t>
      </w:r>
      <w:proofErr w:type="gramStart"/>
      <w:r>
        <w:rPr>
          <w:rFonts w:ascii="宋体" w:hAnsi="宋体" w:hint="eastAsia"/>
          <w:color w:val="060607"/>
          <w:kern w:val="0"/>
          <w:sz w:val="24"/>
          <w:szCs w:val="24"/>
        </w:rPr>
        <w:t>后绿原酸</w:t>
      </w:r>
      <w:proofErr w:type="gramEnd"/>
      <w:r>
        <w:rPr>
          <w:rFonts w:ascii="宋体" w:hAnsi="宋体" w:hint="eastAsia"/>
          <w:color w:val="060607"/>
          <w:kern w:val="0"/>
          <w:sz w:val="24"/>
          <w:szCs w:val="24"/>
        </w:rPr>
        <w:t>全部破乳释放。BWP: PEC = 1:1和1:3的乳液在连续高温水浴中包封率呈持续显著下降趋势，加热6 h后包封率分别仅为15.46</w:t>
      </w:r>
      <w:r>
        <w:rPr>
          <w:rFonts w:ascii="宋体" w:hAnsi="宋体"/>
          <w:color w:val="060607"/>
          <w:kern w:val="0"/>
          <w:sz w:val="24"/>
          <w:szCs w:val="24"/>
        </w:rPr>
        <w:t>±</w:t>
      </w:r>
      <w:r>
        <w:rPr>
          <w:rFonts w:ascii="宋体" w:hAnsi="宋体" w:hint="eastAsia"/>
          <w:color w:val="060607"/>
          <w:kern w:val="0"/>
          <w:sz w:val="24"/>
          <w:szCs w:val="24"/>
        </w:rPr>
        <w:t>1.0%和17.53</w:t>
      </w:r>
      <w:r>
        <w:rPr>
          <w:rFonts w:ascii="宋体" w:hAnsi="宋体"/>
          <w:color w:val="060607"/>
          <w:kern w:val="0"/>
          <w:sz w:val="24"/>
          <w:szCs w:val="24"/>
        </w:rPr>
        <w:t>±</w:t>
      </w:r>
      <w:r>
        <w:rPr>
          <w:rFonts w:ascii="宋体" w:hAnsi="宋体" w:hint="eastAsia"/>
          <w:color w:val="060607"/>
          <w:kern w:val="0"/>
          <w:sz w:val="24"/>
          <w:szCs w:val="24"/>
        </w:rPr>
        <w:t>1.23%。加热6 h后，包封率仅为15.46</w:t>
      </w:r>
      <w:r>
        <w:rPr>
          <w:rFonts w:ascii="宋体" w:hAnsi="宋体"/>
          <w:color w:val="060607"/>
          <w:kern w:val="0"/>
          <w:sz w:val="24"/>
          <w:szCs w:val="24"/>
        </w:rPr>
        <w:t>±</w:t>
      </w:r>
      <w:r>
        <w:rPr>
          <w:rFonts w:ascii="宋体" w:hAnsi="宋体" w:hint="eastAsia"/>
          <w:color w:val="060607"/>
          <w:kern w:val="0"/>
          <w:sz w:val="24"/>
          <w:szCs w:val="24"/>
        </w:rPr>
        <w:t>1.0%，包封率为17.53</w:t>
      </w:r>
      <w:r>
        <w:rPr>
          <w:rFonts w:ascii="宋体" w:hAnsi="宋体"/>
          <w:color w:val="060607"/>
          <w:kern w:val="0"/>
          <w:sz w:val="24"/>
          <w:szCs w:val="24"/>
        </w:rPr>
        <w:t>±</w:t>
      </w:r>
      <w:r>
        <w:rPr>
          <w:rFonts w:ascii="宋体" w:hAnsi="宋体" w:hint="eastAsia"/>
          <w:color w:val="060607"/>
          <w:kern w:val="0"/>
          <w:sz w:val="24"/>
          <w:szCs w:val="24"/>
        </w:rPr>
        <w:t>1.23%。BWP: PEC = 1:5的乳液在加热6 h后包封率最高，为59.69</w:t>
      </w:r>
      <w:r>
        <w:rPr>
          <w:rFonts w:ascii="宋体" w:hAnsi="宋体"/>
          <w:color w:val="060607"/>
          <w:kern w:val="0"/>
          <w:sz w:val="24"/>
          <w:szCs w:val="24"/>
        </w:rPr>
        <w:t>±</w:t>
      </w:r>
      <w:r>
        <w:rPr>
          <w:rFonts w:ascii="宋体" w:hAnsi="宋体" w:hint="eastAsia"/>
          <w:color w:val="060607"/>
          <w:kern w:val="0"/>
          <w:sz w:val="24"/>
          <w:szCs w:val="24"/>
        </w:rPr>
        <w:t>0.67%，且在加热2～6 h期间包封率无明显下降，具有良好的高温稳定性。</w:t>
      </w:r>
    </w:p>
    <w:p w14:paraId="6C737292"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图9是实施例1-5制备的水包油包水型复合乳液在常温贮藏15天的外观图，所有乳液均无明显分层，质地均匀。</w:t>
      </w:r>
    </w:p>
    <w:p w14:paraId="23FF4E3E" w14:textId="77777777" w:rsidR="00946C2F" w:rsidRDefault="00000000">
      <w:pPr>
        <w:widowControl/>
        <w:spacing w:line="360" w:lineRule="auto"/>
        <w:ind w:firstLineChars="200" w:firstLine="480"/>
        <w:jc w:val="left"/>
        <w:rPr>
          <w:rFonts w:ascii="宋体" w:hAnsi="宋体" w:hint="eastAsia"/>
          <w:color w:val="060607"/>
          <w:kern w:val="0"/>
          <w:sz w:val="24"/>
          <w:szCs w:val="24"/>
        </w:rPr>
      </w:pPr>
      <w:r>
        <w:rPr>
          <w:rFonts w:ascii="宋体" w:hAnsi="宋体" w:hint="eastAsia"/>
          <w:color w:val="060607"/>
          <w:kern w:val="0"/>
          <w:sz w:val="24"/>
          <w:szCs w:val="24"/>
        </w:rPr>
        <w:t>采用体外动态模拟消化系统分别测定实施例1-5制备的水包油包水型复合乳液的胃消化率，单独胃消化90分钟，分别在15、30、45、60、75和90分钟对胃内潴留样品称重，</w:t>
      </w:r>
      <w:r w:rsidRPr="003F1908">
        <w:rPr>
          <w:rFonts w:ascii="宋体" w:hAnsi="宋体" w:hint="eastAsia"/>
          <w:color w:val="060607"/>
          <w:kern w:val="0"/>
          <w:sz w:val="24"/>
          <w:szCs w:val="24"/>
        </w:rPr>
        <w:t>胃潴留数据采用指数型</w:t>
      </w:r>
      <w:proofErr w:type="spellStart"/>
      <w:r w:rsidRPr="003F1908">
        <w:rPr>
          <w:rFonts w:ascii="宋体" w:hAnsi="宋体"/>
          <w:color w:val="060607"/>
          <w:kern w:val="0"/>
          <w:sz w:val="24"/>
          <w:szCs w:val="24"/>
        </w:rPr>
        <w:t>Elashoff</w:t>
      </w:r>
      <w:proofErr w:type="spellEnd"/>
      <w:r w:rsidRPr="003F1908">
        <w:rPr>
          <w:rFonts w:ascii="宋体" w:hAnsi="宋体" w:hint="eastAsia"/>
          <w:color w:val="060607"/>
          <w:kern w:val="0"/>
          <w:sz w:val="24"/>
          <w:szCs w:val="24"/>
        </w:rPr>
        <w:t>模型的修正建模</w:t>
      </w:r>
      <w:r>
        <w:rPr>
          <w:rFonts w:ascii="宋体" w:hAnsi="宋体" w:hint="eastAsia"/>
          <w:color w:val="060607"/>
          <w:kern w:val="0"/>
          <w:sz w:val="24"/>
          <w:szCs w:val="24"/>
        </w:rPr>
        <w:t>。结果如图10所示，由于动态体外消化胃模型中存在大量乳液，导致前30min内每种乳液的</w:t>
      </w:r>
      <w:proofErr w:type="gramStart"/>
      <w:r>
        <w:rPr>
          <w:rFonts w:ascii="宋体" w:hAnsi="宋体" w:hint="eastAsia"/>
          <w:color w:val="060607"/>
          <w:kern w:val="0"/>
          <w:sz w:val="24"/>
          <w:szCs w:val="24"/>
        </w:rPr>
        <w:t>排空率</w:t>
      </w:r>
      <w:proofErr w:type="gramEnd"/>
      <w:r>
        <w:rPr>
          <w:rFonts w:ascii="宋体" w:hAnsi="宋体" w:hint="eastAsia"/>
          <w:color w:val="060607"/>
          <w:kern w:val="0"/>
          <w:sz w:val="24"/>
          <w:szCs w:val="24"/>
        </w:rPr>
        <w:t>相似，胃潴留率均大于50%。随着胃排空的继续，胃中保留的乳液减少，胃排空可能以胃收缩为主。</w:t>
      </w:r>
      <w:r>
        <w:rPr>
          <w:rFonts w:ascii="宋体" w:hAnsi="宋体"/>
          <w:color w:val="060607"/>
          <w:kern w:val="0"/>
          <w:sz w:val="24"/>
          <w:szCs w:val="24"/>
        </w:rPr>
        <w:t>BWP: PEC =</w:t>
      </w:r>
      <w:r>
        <w:rPr>
          <w:rFonts w:ascii="宋体" w:hAnsi="宋体" w:hint="eastAsia"/>
          <w:color w:val="060607"/>
          <w:kern w:val="0"/>
          <w:sz w:val="24"/>
          <w:szCs w:val="24"/>
        </w:rPr>
        <w:t>1:5乳液消化后期（30～90 min）胃潴留率显著高于其他组；在胃消化90min后，其中BWP: PEC = 1:5组乳液胃潴留率为9.9%，显著高于BWP: PEC = 5:1组（4.25%）。BWP: PEC = 1:3组乳液胃潴留率为9.63%，BWP: PEC = 1:1组乳液胃潴留率为8.8%，BWP: PEC = 3:1组乳液胃潴留率为9.45%。</w:t>
      </w:r>
    </w:p>
    <w:p w14:paraId="1469561A" w14:textId="77777777" w:rsidR="00946C2F" w:rsidRDefault="00000000">
      <w:pPr>
        <w:spacing w:line="360" w:lineRule="auto"/>
        <w:ind w:firstLine="482"/>
        <w:rPr>
          <w:rFonts w:ascii="Times New Roman" w:hAnsi="Times New Roman"/>
          <w:kern w:val="28"/>
          <w:sz w:val="24"/>
          <w:szCs w:val="24"/>
        </w:rPr>
      </w:pPr>
      <w:r>
        <w:rPr>
          <w:rFonts w:ascii="Times New Roman" w:hAnsi="Times New Roman" w:hint="eastAsia"/>
          <w:color w:val="000000"/>
          <w:sz w:val="24"/>
          <w:szCs w:val="24"/>
        </w:rPr>
        <w:t>综上所述，外水相由</w:t>
      </w:r>
      <w:r>
        <w:rPr>
          <w:rFonts w:ascii="Times New Roman" w:hAnsi="Times New Roman" w:hint="eastAsia"/>
          <w:kern w:val="28"/>
          <w:sz w:val="24"/>
          <w:szCs w:val="24"/>
        </w:rPr>
        <w:t>牛乳清蛋白粉溶液</w:t>
      </w:r>
      <w:proofErr w:type="gramStart"/>
      <w:r>
        <w:rPr>
          <w:rFonts w:ascii="Times New Roman" w:hAnsi="Times New Roman" w:hint="eastAsia"/>
          <w:kern w:val="28"/>
          <w:sz w:val="24"/>
          <w:szCs w:val="24"/>
        </w:rPr>
        <w:t>与高酯果胶</w:t>
      </w:r>
      <w:proofErr w:type="gramEnd"/>
      <w:r>
        <w:rPr>
          <w:rFonts w:ascii="Times New Roman" w:hAnsi="Times New Roman" w:hint="eastAsia"/>
          <w:kern w:val="28"/>
          <w:sz w:val="24"/>
          <w:szCs w:val="24"/>
        </w:rPr>
        <w:t>粉溶液按照体积比为</w:t>
      </w:r>
      <w:r>
        <w:rPr>
          <w:rFonts w:ascii="Times New Roman" w:hAnsi="Times New Roman"/>
          <w:kern w:val="28"/>
          <w:sz w:val="24"/>
          <w:szCs w:val="24"/>
        </w:rPr>
        <w:t>1:5</w:t>
      </w:r>
      <w:r>
        <w:rPr>
          <w:rFonts w:ascii="Times New Roman" w:hAnsi="Times New Roman" w:hint="eastAsia"/>
          <w:kern w:val="28"/>
          <w:sz w:val="24"/>
          <w:szCs w:val="24"/>
        </w:rPr>
        <w:t>组成时，其制备的水包油包水型绿原酸复合乳液包埋率最高，为</w:t>
      </w:r>
      <w:r>
        <w:rPr>
          <w:rFonts w:ascii="Times New Roman" w:hAnsi="Times New Roman"/>
          <w:kern w:val="28"/>
          <w:sz w:val="24"/>
          <w:szCs w:val="24"/>
        </w:rPr>
        <w:t>94.52</w:t>
      </w:r>
      <w:r>
        <w:rPr>
          <w:rFonts w:ascii="Times New Roman" w:hAnsi="Times New Roman" w:hint="eastAsia"/>
          <w:kern w:val="28"/>
          <w:sz w:val="24"/>
          <w:szCs w:val="24"/>
        </w:rPr>
        <w:t>％，对</w:t>
      </w:r>
      <w:r>
        <w:rPr>
          <w:rFonts w:ascii="Times New Roman" w:hAnsi="Times New Roman"/>
          <w:kern w:val="28"/>
          <w:sz w:val="24"/>
          <w:szCs w:val="24"/>
        </w:rPr>
        <w:t>DPPH</w:t>
      </w:r>
      <w:r>
        <w:rPr>
          <w:rFonts w:ascii="Times New Roman" w:hAnsi="Times New Roman" w:hint="eastAsia"/>
          <w:kern w:val="28"/>
          <w:sz w:val="24"/>
          <w:szCs w:val="24"/>
        </w:rPr>
        <w:t>自由基清除</w:t>
      </w:r>
      <w:proofErr w:type="gramStart"/>
      <w:r>
        <w:rPr>
          <w:rFonts w:ascii="Times New Roman" w:hAnsi="Times New Roman" w:hint="eastAsia"/>
          <w:kern w:val="28"/>
          <w:sz w:val="24"/>
          <w:szCs w:val="24"/>
        </w:rPr>
        <w:t>活性是</w:t>
      </w:r>
      <w:proofErr w:type="gramEnd"/>
      <w:r>
        <w:rPr>
          <w:rFonts w:ascii="Times New Roman" w:hAnsi="Times New Roman" w:hint="eastAsia"/>
          <w:kern w:val="28"/>
          <w:sz w:val="24"/>
          <w:szCs w:val="24"/>
        </w:rPr>
        <w:t>等浓度绿原酸单体的</w:t>
      </w:r>
      <w:r>
        <w:rPr>
          <w:rFonts w:ascii="Times New Roman" w:hAnsi="Times New Roman"/>
          <w:kern w:val="28"/>
          <w:sz w:val="24"/>
          <w:szCs w:val="24"/>
        </w:rPr>
        <w:t>1.59</w:t>
      </w:r>
      <w:r>
        <w:rPr>
          <w:rFonts w:ascii="Times New Roman" w:hAnsi="Times New Roman" w:hint="eastAsia"/>
          <w:kern w:val="28"/>
          <w:sz w:val="24"/>
          <w:szCs w:val="24"/>
        </w:rPr>
        <w:t>倍。</w:t>
      </w:r>
      <w:r>
        <w:rPr>
          <w:rFonts w:ascii="Times New Roman" w:hAnsi="Times New Roman" w:hint="eastAsia"/>
          <w:color w:val="000000"/>
          <w:sz w:val="24"/>
          <w:szCs w:val="24"/>
        </w:rPr>
        <w:t>同时在体内也可更有效抵抗胃酸的侵蚀，</w:t>
      </w:r>
      <w:proofErr w:type="gramStart"/>
      <w:r>
        <w:rPr>
          <w:rFonts w:ascii="Times New Roman" w:hAnsi="Times New Roman" w:hint="eastAsia"/>
          <w:color w:val="000000"/>
          <w:sz w:val="24"/>
          <w:szCs w:val="24"/>
        </w:rPr>
        <w:t>使较高</w:t>
      </w:r>
      <w:proofErr w:type="gramEnd"/>
      <w:r>
        <w:rPr>
          <w:rFonts w:ascii="Times New Roman" w:hAnsi="Times New Roman" w:hint="eastAsia"/>
          <w:color w:val="000000"/>
          <w:sz w:val="24"/>
          <w:szCs w:val="24"/>
        </w:rPr>
        <w:t>含量的绿原酸到达肠道内定植从而发挥抗炎活性。</w:t>
      </w:r>
      <w:r>
        <w:rPr>
          <w:rFonts w:ascii="Times New Roman" w:hAnsi="Times New Roman" w:hint="eastAsia"/>
          <w:kern w:val="28"/>
          <w:sz w:val="24"/>
          <w:szCs w:val="24"/>
        </w:rPr>
        <w:t>在动态体外消化实验中，牛乳清蛋白粉溶液</w:t>
      </w:r>
      <w:proofErr w:type="gramStart"/>
      <w:r>
        <w:rPr>
          <w:rFonts w:ascii="Times New Roman" w:hAnsi="Times New Roman" w:hint="eastAsia"/>
          <w:kern w:val="28"/>
          <w:sz w:val="24"/>
          <w:szCs w:val="24"/>
        </w:rPr>
        <w:t>与高酯果胶</w:t>
      </w:r>
      <w:proofErr w:type="gramEnd"/>
      <w:r>
        <w:rPr>
          <w:rFonts w:ascii="Times New Roman" w:hAnsi="Times New Roman" w:hint="eastAsia"/>
          <w:kern w:val="28"/>
          <w:sz w:val="24"/>
          <w:szCs w:val="24"/>
        </w:rPr>
        <w:t>粉溶液体积比为</w:t>
      </w:r>
      <w:r>
        <w:rPr>
          <w:rFonts w:ascii="Times New Roman" w:hAnsi="Times New Roman"/>
          <w:kern w:val="28"/>
          <w:sz w:val="24"/>
          <w:szCs w:val="24"/>
        </w:rPr>
        <w:t>1:5</w:t>
      </w:r>
      <w:r>
        <w:rPr>
          <w:rFonts w:ascii="Times New Roman" w:hAnsi="Times New Roman" w:hint="eastAsia"/>
          <w:kern w:val="28"/>
          <w:sz w:val="24"/>
          <w:szCs w:val="24"/>
        </w:rPr>
        <w:t>的水包油包水型绿原酸复合乳液胃排空率最低，胃内粘度高，蛋白质消化率最低，单独胃消化</w:t>
      </w:r>
      <w:r>
        <w:rPr>
          <w:rFonts w:ascii="Times New Roman" w:hAnsi="Times New Roman"/>
          <w:kern w:val="28"/>
          <w:sz w:val="24"/>
          <w:szCs w:val="24"/>
        </w:rPr>
        <w:t>90 min</w:t>
      </w:r>
      <w:r>
        <w:rPr>
          <w:rFonts w:ascii="Times New Roman" w:hAnsi="Times New Roman" w:hint="eastAsia"/>
          <w:kern w:val="28"/>
          <w:sz w:val="24"/>
          <w:szCs w:val="24"/>
        </w:rPr>
        <w:t>后保留率为</w:t>
      </w:r>
      <w:r>
        <w:rPr>
          <w:rFonts w:ascii="Times New Roman" w:hAnsi="Times New Roman"/>
          <w:kern w:val="28"/>
          <w:sz w:val="24"/>
          <w:szCs w:val="24"/>
        </w:rPr>
        <w:t>9.9%</w:t>
      </w:r>
      <w:r>
        <w:rPr>
          <w:rFonts w:ascii="Times New Roman" w:hAnsi="Times New Roman" w:hint="eastAsia"/>
          <w:kern w:val="28"/>
          <w:sz w:val="24"/>
          <w:szCs w:val="24"/>
        </w:rPr>
        <w:t>。</w:t>
      </w:r>
    </w:p>
    <w:p w14:paraId="2818D20D" w14:textId="77777777" w:rsidR="00946C2F" w:rsidRDefault="00000000">
      <w:pPr>
        <w:autoSpaceDE w:val="0"/>
        <w:autoSpaceDN w:val="0"/>
        <w:spacing w:line="360" w:lineRule="auto"/>
        <w:ind w:firstLineChars="200" w:firstLine="480"/>
        <w:rPr>
          <w:rFonts w:ascii="Times New Roman" w:hAnsi="Times New Roman"/>
          <w:color w:val="000000"/>
          <w:sz w:val="24"/>
          <w:szCs w:val="24"/>
        </w:rPr>
      </w:pPr>
      <w:r>
        <w:rPr>
          <w:rFonts w:ascii="宋体" w:hAnsi="宋体" w:cs="宋体" w:hint="eastAsia"/>
          <w:color w:val="060607"/>
          <w:kern w:val="0"/>
          <w:sz w:val="24"/>
          <w:szCs w:val="24"/>
        </w:rPr>
        <w:t>乳清蛋白是W/O/W乳液中高效的亲水性乳化剂；它们利用空间位阻和静电斥力来稳定内部水相，对亲水多酚具有显著的稳定作用。</w:t>
      </w:r>
      <w:r>
        <w:rPr>
          <w:rFonts w:ascii="Times New Roman" w:hAnsi="Times New Roman" w:hint="eastAsia"/>
          <w:color w:val="000000"/>
          <w:sz w:val="24"/>
          <w:szCs w:val="24"/>
        </w:rPr>
        <w:t>本发明乳液在外水相中加入牛乳清蛋白溶液作为外层油水界面乳化剂，保持乳状液的稳定性，牛乳清蛋白可赋予乳液良好外观和</w:t>
      </w:r>
      <w:proofErr w:type="gramStart"/>
      <w:r>
        <w:rPr>
          <w:rFonts w:ascii="Times New Roman" w:hAnsi="Times New Roman" w:hint="eastAsia"/>
          <w:color w:val="000000"/>
          <w:sz w:val="24"/>
          <w:szCs w:val="24"/>
        </w:rPr>
        <w:t>质构</w:t>
      </w:r>
      <w:proofErr w:type="gramEnd"/>
      <w:r>
        <w:rPr>
          <w:rFonts w:ascii="Times New Roman" w:hAnsi="Times New Roman" w:hint="eastAsia"/>
          <w:color w:val="000000"/>
          <w:sz w:val="24"/>
          <w:szCs w:val="24"/>
        </w:rPr>
        <w:t>特性，乳清分离蛋白具有人体所需必需氨基酸，可提高乳液营养价值。本发明乳液在外水相中</w:t>
      </w:r>
      <w:proofErr w:type="gramStart"/>
      <w:r>
        <w:rPr>
          <w:rFonts w:ascii="Times New Roman" w:hAnsi="Times New Roman" w:hint="eastAsia"/>
          <w:color w:val="000000"/>
          <w:sz w:val="24"/>
          <w:szCs w:val="24"/>
        </w:rPr>
        <w:t>加入高酯果胶</w:t>
      </w:r>
      <w:proofErr w:type="gramEnd"/>
      <w:r>
        <w:rPr>
          <w:rFonts w:ascii="Times New Roman" w:hAnsi="Times New Roman" w:hint="eastAsia"/>
          <w:color w:val="000000"/>
          <w:sz w:val="24"/>
          <w:szCs w:val="24"/>
        </w:rPr>
        <w:t>作为</w:t>
      </w:r>
      <w:proofErr w:type="gramStart"/>
      <w:r>
        <w:rPr>
          <w:rFonts w:ascii="Times New Roman" w:hAnsi="Times New Roman" w:hint="eastAsia"/>
          <w:color w:val="000000"/>
          <w:sz w:val="24"/>
          <w:szCs w:val="24"/>
        </w:rPr>
        <w:t>黏</w:t>
      </w:r>
      <w:proofErr w:type="gramEnd"/>
      <w:r>
        <w:rPr>
          <w:rFonts w:ascii="Times New Roman" w:hAnsi="Times New Roman" w:hint="eastAsia"/>
          <w:color w:val="000000"/>
          <w:sz w:val="24"/>
          <w:szCs w:val="24"/>
        </w:rPr>
        <w:t>稠剂，在乳液中起到凝胶或聚合作用，有助于多重乳液的稳定和提高绿原酸的包封率。</w:t>
      </w:r>
      <w:bookmarkEnd w:id="0"/>
      <w:bookmarkEnd w:id="1"/>
    </w:p>
    <w:p w14:paraId="5B3F15D0" w14:textId="77777777" w:rsidR="00946C2F" w:rsidRPr="00F66B3A" w:rsidRDefault="00000000" w:rsidP="00F66B3A">
      <w:pPr>
        <w:adjustRightInd w:val="0"/>
        <w:snapToGrid w:val="0"/>
        <w:spacing w:line="360" w:lineRule="auto"/>
        <w:ind w:firstLineChars="200" w:firstLine="480"/>
        <w:rPr>
          <w:rFonts w:ascii="Times New Roman" w:hAnsi="Times New Roman"/>
          <w:b/>
          <w:bCs/>
          <w:color w:val="000000"/>
          <w:sz w:val="24"/>
          <w:szCs w:val="24"/>
        </w:rPr>
      </w:pPr>
      <w:r>
        <w:rPr>
          <w:rFonts w:ascii="Times New Roman" w:hAnsi="Times New Roman" w:hint="eastAsia"/>
          <w:color w:val="000000"/>
          <w:sz w:val="24"/>
          <w:szCs w:val="24"/>
        </w:rPr>
        <w:t>本发明是采用乳化技术</w:t>
      </w:r>
      <w:r w:rsidR="003F1908">
        <w:rPr>
          <w:rFonts w:ascii="Times New Roman" w:hAnsi="Times New Roman" w:hint="eastAsia"/>
          <w:color w:val="000000"/>
          <w:sz w:val="24"/>
          <w:szCs w:val="24"/>
        </w:rPr>
        <w:t>和</w:t>
      </w:r>
      <w:r>
        <w:rPr>
          <w:rFonts w:ascii="Times New Roman" w:hAnsi="Times New Roman" w:hint="eastAsia"/>
          <w:color w:val="000000"/>
          <w:sz w:val="24"/>
          <w:szCs w:val="24"/>
        </w:rPr>
        <w:t>均一化技术制备的负载绿原酸的乳剂型产品，可直接应用于湿</w:t>
      </w:r>
      <w:proofErr w:type="gramStart"/>
      <w:r>
        <w:rPr>
          <w:rFonts w:ascii="Times New Roman" w:hAnsi="Times New Roman" w:hint="eastAsia"/>
          <w:color w:val="000000"/>
          <w:sz w:val="24"/>
          <w:szCs w:val="24"/>
        </w:rPr>
        <w:t>态食品</w:t>
      </w:r>
      <w:proofErr w:type="gramEnd"/>
      <w:r>
        <w:rPr>
          <w:rFonts w:ascii="Times New Roman" w:hAnsi="Times New Roman" w:hint="eastAsia"/>
          <w:color w:val="000000"/>
          <w:sz w:val="24"/>
          <w:szCs w:val="24"/>
        </w:rPr>
        <w:t>环境和化妆品中，例如制备保湿乳时，加入本发明</w:t>
      </w:r>
      <w:r>
        <w:rPr>
          <w:rFonts w:ascii="Times New Roman" w:hAnsi="Times New Roman" w:hint="eastAsia"/>
          <w:kern w:val="28"/>
          <w:sz w:val="24"/>
          <w:szCs w:val="24"/>
        </w:rPr>
        <w:t>复合</w:t>
      </w:r>
      <w:r>
        <w:rPr>
          <w:rFonts w:ascii="Times New Roman" w:hAnsi="Times New Roman" w:hint="eastAsia"/>
          <w:color w:val="000000"/>
          <w:sz w:val="24"/>
          <w:szCs w:val="24"/>
        </w:rPr>
        <w:t>乳液可以起抗氧化和持续保湿的作用；在制备奶制品和冰淇淋等制品时，加入本发明</w:t>
      </w:r>
      <w:r>
        <w:rPr>
          <w:rFonts w:ascii="Times New Roman" w:hAnsi="Times New Roman" w:hint="eastAsia"/>
          <w:kern w:val="28"/>
          <w:sz w:val="24"/>
          <w:szCs w:val="24"/>
        </w:rPr>
        <w:t>复合</w:t>
      </w:r>
      <w:r>
        <w:rPr>
          <w:rFonts w:ascii="Times New Roman" w:hAnsi="Times New Roman" w:hint="eastAsia"/>
          <w:color w:val="000000"/>
          <w:sz w:val="24"/>
          <w:szCs w:val="24"/>
        </w:rPr>
        <w:t>乳液，可以起到取代牛乳脂肪，降低冰淇淋和奶制品脂肪含量作用。</w:t>
      </w:r>
    </w:p>
    <w:p w14:paraId="64B57107" w14:textId="71F539AC" w:rsidR="00946C2F" w:rsidRDefault="00000000" w:rsidP="009E36B3">
      <w:pPr>
        <w:autoSpaceDE w:val="0"/>
        <w:autoSpaceDN w:val="0"/>
        <w:spacing w:line="360" w:lineRule="auto"/>
        <w:ind w:firstLineChars="200" w:firstLine="480"/>
        <w:rPr>
          <w:rFonts w:ascii="Times New Roman" w:hAnsi="Times New Roman"/>
          <w:sz w:val="24"/>
          <w:szCs w:val="24"/>
        </w:rPr>
      </w:pPr>
      <w:r>
        <w:rPr>
          <w:rFonts w:ascii="Times New Roman" w:hAnsi="Times New Roman" w:hint="eastAsia"/>
          <w:sz w:val="24"/>
          <w:szCs w:val="24"/>
        </w:rPr>
        <w:t>上面结合附图对本申请的实施例进行了描述，但是本申请并不局限于上述的具体实施方式，上述的具体实施方式仅仅是示意性的，而不是限制性的，本领域的普通技术人员在本申请的启示下，在不脱离本申请宗旨和权利要求所保护的范围情况下，还可做出很多形式，均属于本申请的保护之内。</w:t>
      </w:r>
    </w:p>
    <w:p w14:paraId="1FBE0A63" w14:textId="77777777" w:rsidR="00946C2F" w:rsidRDefault="00946C2F">
      <w:pPr>
        <w:widowControl/>
        <w:overflowPunct w:val="0"/>
        <w:autoSpaceDE w:val="0"/>
        <w:autoSpaceDN w:val="0"/>
        <w:adjustRightInd w:val="0"/>
        <w:snapToGrid w:val="0"/>
        <w:spacing w:line="360" w:lineRule="auto"/>
        <w:ind w:firstLineChars="200" w:firstLine="480"/>
        <w:textAlignment w:val="baseline"/>
        <w:rPr>
          <w:rFonts w:ascii="Times New Roman" w:hAnsi="Times New Roman"/>
          <w:sz w:val="24"/>
          <w:szCs w:val="24"/>
        </w:rPr>
        <w:sectPr w:rsidR="00946C2F">
          <w:headerReference w:type="default" r:id="rId15"/>
          <w:pgSz w:w="11906" w:h="16838"/>
          <w:pgMar w:top="1588" w:right="1134" w:bottom="1134" w:left="1588" w:header="1134" w:footer="851" w:gutter="0"/>
          <w:lnNumType w:countBy="5"/>
          <w:pgNumType w:start="1"/>
          <w:cols w:space="425"/>
          <w:docGrid w:type="lines" w:linePitch="312"/>
        </w:sectPr>
      </w:pPr>
    </w:p>
    <w:p w14:paraId="58A14092" w14:textId="77777777" w:rsidR="00946C2F" w:rsidRDefault="00946C2F">
      <w:pPr>
        <w:autoSpaceDE w:val="0"/>
        <w:autoSpaceDN w:val="0"/>
        <w:spacing w:line="360" w:lineRule="auto"/>
        <w:ind w:firstLineChars="200" w:firstLine="480"/>
        <w:jc w:val="center"/>
        <w:rPr>
          <w:sz w:val="24"/>
          <w:szCs w:val="24"/>
        </w:rPr>
      </w:pPr>
    </w:p>
    <w:p w14:paraId="3D36FB41" w14:textId="77777777" w:rsidR="00946C2F" w:rsidRDefault="00000000">
      <w:pPr>
        <w:autoSpaceDE w:val="0"/>
        <w:autoSpaceDN w:val="0"/>
        <w:spacing w:line="360" w:lineRule="auto"/>
        <w:ind w:firstLineChars="200" w:firstLine="480"/>
        <w:jc w:val="center"/>
        <w:rPr>
          <w:sz w:val="24"/>
          <w:szCs w:val="24"/>
        </w:rPr>
      </w:pPr>
      <w:r>
        <w:rPr>
          <w:rFonts w:hint="eastAsia"/>
          <w:sz w:val="24"/>
          <w:szCs w:val="24"/>
        </w:rPr>
        <w:t xml:space="preserve">         </w:t>
      </w:r>
      <w:r>
        <w:rPr>
          <w:noProof/>
        </w:rPr>
        <w:drawing>
          <wp:inline distT="0" distB="0" distL="114300" distR="114300" wp14:anchorId="29D0759D" wp14:editId="3D3CD822">
            <wp:extent cx="5814695" cy="1531620"/>
            <wp:effectExtent l="0" t="0" r="508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814695" cy="1531620"/>
                    </a:xfrm>
                    <a:prstGeom prst="rect">
                      <a:avLst/>
                    </a:prstGeom>
                    <a:noFill/>
                    <a:ln>
                      <a:noFill/>
                    </a:ln>
                  </pic:spPr>
                </pic:pic>
              </a:graphicData>
            </a:graphic>
          </wp:inline>
        </w:drawing>
      </w:r>
      <w:r>
        <w:rPr>
          <w:rFonts w:hint="eastAsia"/>
          <w:sz w:val="24"/>
          <w:szCs w:val="24"/>
        </w:rPr>
        <w:t xml:space="preserve">                                   </w:t>
      </w:r>
    </w:p>
    <w:p w14:paraId="0151BAC5" w14:textId="77777777" w:rsidR="00946C2F" w:rsidRDefault="00000000">
      <w:pPr>
        <w:autoSpaceDE w:val="0"/>
        <w:autoSpaceDN w:val="0"/>
        <w:spacing w:line="360" w:lineRule="auto"/>
        <w:ind w:firstLineChars="200" w:firstLine="480"/>
        <w:jc w:val="center"/>
        <w:rPr>
          <w:sz w:val="24"/>
          <w:szCs w:val="24"/>
        </w:rPr>
      </w:pPr>
      <w:r>
        <w:rPr>
          <w:rFonts w:hint="eastAsia"/>
          <w:sz w:val="24"/>
          <w:szCs w:val="24"/>
        </w:rPr>
        <w:t xml:space="preserve">                         </w:t>
      </w:r>
    </w:p>
    <w:p w14:paraId="3776B5FD"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图1</w:t>
      </w:r>
    </w:p>
    <w:p w14:paraId="60307B02"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noProof/>
          <w:sz w:val="24"/>
          <w:szCs w:val="24"/>
        </w:rPr>
        <w:drawing>
          <wp:inline distT="0" distB="0" distL="0" distR="0" wp14:anchorId="623C70DC" wp14:editId="43C27FF6">
            <wp:extent cx="4562475" cy="3143250"/>
            <wp:effectExtent l="0" t="0" r="9525" b="0"/>
            <wp:docPr id="51672415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24158" name="图片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62475" cy="3143250"/>
                    </a:xfrm>
                    <a:prstGeom prst="rect">
                      <a:avLst/>
                    </a:prstGeom>
                    <a:noFill/>
                    <a:ln>
                      <a:noFill/>
                    </a:ln>
                  </pic:spPr>
                </pic:pic>
              </a:graphicData>
            </a:graphic>
          </wp:inline>
        </w:drawing>
      </w:r>
      <w:r w:rsidRPr="009E36B3">
        <w:rPr>
          <w:rFonts w:ascii="宋体" w:hAnsi="宋体"/>
          <w:sz w:val="24"/>
          <w:szCs w:val="24"/>
        </w:rPr>
        <w:t xml:space="preserve"> </w:t>
      </w:r>
    </w:p>
    <w:p w14:paraId="3EEBE7B3"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图2</w:t>
      </w:r>
    </w:p>
    <w:p w14:paraId="7B248E0C" w14:textId="77777777" w:rsidR="00946C2F" w:rsidRPr="009E36B3" w:rsidRDefault="00000000">
      <w:pPr>
        <w:autoSpaceDE w:val="0"/>
        <w:autoSpaceDN w:val="0"/>
        <w:spacing w:line="360" w:lineRule="auto"/>
        <w:ind w:firstLineChars="200" w:firstLine="480"/>
        <w:jc w:val="center"/>
        <w:rPr>
          <w:rFonts w:ascii="宋体" w:hAnsi="宋体"/>
          <w:iCs/>
          <w:sz w:val="24"/>
          <w:szCs w:val="24"/>
        </w:rPr>
      </w:pPr>
      <w:r w:rsidRPr="009E36B3">
        <w:rPr>
          <w:rFonts w:ascii="宋体" w:hAnsi="宋体"/>
          <w:i/>
          <w:noProof/>
          <w:sz w:val="24"/>
          <w:szCs w:val="24"/>
        </w:rPr>
        <w:drawing>
          <wp:inline distT="0" distB="0" distL="0" distR="0" wp14:anchorId="17B3EA9E" wp14:editId="6C3C789A">
            <wp:extent cx="3552825" cy="3152775"/>
            <wp:effectExtent l="0" t="0" r="9525" b="9525"/>
            <wp:docPr id="9487475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47592" name="图片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552825" cy="3152775"/>
                    </a:xfrm>
                    <a:prstGeom prst="rect">
                      <a:avLst/>
                    </a:prstGeom>
                    <a:noFill/>
                    <a:ln>
                      <a:noFill/>
                    </a:ln>
                  </pic:spPr>
                </pic:pic>
              </a:graphicData>
            </a:graphic>
          </wp:inline>
        </w:drawing>
      </w:r>
      <w:r w:rsidRPr="009E36B3">
        <w:rPr>
          <w:rFonts w:ascii="宋体" w:hAnsi="宋体" w:hint="eastAsia"/>
          <w:iCs/>
          <w:sz w:val="24"/>
          <w:szCs w:val="24"/>
        </w:rPr>
        <w:t xml:space="preserve"> </w:t>
      </w:r>
    </w:p>
    <w:p w14:paraId="446A6243"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图3</w:t>
      </w:r>
    </w:p>
    <w:p w14:paraId="40488094" w14:textId="77777777" w:rsidR="00946C2F" w:rsidRPr="009E36B3" w:rsidRDefault="00000000">
      <w:pPr>
        <w:autoSpaceDE w:val="0"/>
        <w:autoSpaceDN w:val="0"/>
        <w:spacing w:line="360" w:lineRule="auto"/>
        <w:ind w:firstLineChars="200" w:firstLine="480"/>
        <w:jc w:val="center"/>
        <w:rPr>
          <w:rFonts w:ascii="宋体" w:hAnsi="宋体"/>
          <w:i/>
          <w:sz w:val="24"/>
          <w:szCs w:val="24"/>
        </w:rPr>
      </w:pPr>
      <w:r w:rsidRPr="009E36B3">
        <w:rPr>
          <w:rFonts w:ascii="宋体" w:hAnsi="宋体"/>
          <w:i/>
          <w:noProof/>
          <w:sz w:val="24"/>
          <w:szCs w:val="24"/>
        </w:rPr>
        <w:drawing>
          <wp:inline distT="0" distB="0" distL="0" distR="0" wp14:anchorId="66EB978A" wp14:editId="7721830A">
            <wp:extent cx="3714750" cy="3409950"/>
            <wp:effectExtent l="0" t="0" r="0" b="0"/>
            <wp:docPr id="20948902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90224" name="图片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714750" cy="3409950"/>
                    </a:xfrm>
                    <a:prstGeom prst="rect">
                      <a:avLst/>
                    </a:prstGeom>
                    <a:noFill/>
                    <a:ln>
                      <a:noFill/>
                    </a:ln>
                  </pic:spPr>
                </pic:pic>
              </a:graphicData>
            </a:graphic>
          </wp:inline>
        </w:drawing>
      </w:r>
      <w:r w:rsidRPr="009E36B3">
        <w:rPr>
          <w:rFonts w:ascii="宋体" w:hAnsi="宋体"/>
          <w:i/>
          <w:sz w:val="24"/>
          <w:szCs w:val="24"/>
        </w:rPr>
        <w:t xml:space="preserve"> </w:t>
      </w:r>
    </w:p>
    <w:p w14:paraId="3879783F"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图4</w:t>
      </w:r>
    </w:p>
    <w:p w14:paraId="2706D17E" w14:textId="77777777" w:rsidR="00946C2F" w:rsidRPr="009E36B3" w:rsidRDefault="00000000">
      <w:pPr>
        <w:autoSpaceDE w:val="0"/>
        <w:autoSpaceDN w:val="0"/>
        <w:spacing w:line="360" w:lineRule="auto"/>
        <w:ind w:firstLineChars="200" w:firstLine="480"/>
        <w:jc w:val="center"/>
        <w:rPr>
          <w:rFonts w:ascii="宋体" w:hAnsi="宋体"/>
          <w:i/>
          <w:sz w:val="24"/>
          <w:szCs w:val="24"/>
        </w:rPr>
      </w:pPr>
      <w:r w:rsidRPr="009E36B3">
        <w:rPr>
          <w:rFonts w:ascii="宋体" w:hAnsi="宋体"/>
          <w:i/>
          <w:noProof/>
          <w:sz w:val="24"/>
          <w:szCs w:val="24"/>
        </w:rPr>
        <w:drawing>
          <wp:inline distT="0" distB="0" distL="0" distR="0" wp14:anchorId="5BAD04C7" wp14:editId="179D20BC">
            <wp:extent cx="3676650" cy="3295650"/>
            <wp:effectExtent l="0" t="0" r="0" b="0"/>
            <wp:docPr id="8293477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47776" name="图片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76650" cy="3295650"/>
                    </a:xfrm>
                    <a:prstGeom prst="rect">
                      <a:avLst/>
                    </a:prstGeom>
                    <a:noFill/>
                    <a:ln>
                      <a:noFill/>
                    </a:ln>
                  </pic:spPr>
                </pic:pic>
              </a:graphicData>
            </a:graphic>
          </wp:inline>
        </w:drawing>
      </w:r>
      <w:r w:rsidRPr="009E36B3">
        <w:rPr>
          <w:rFonts w:ascii="宋体" w:hAnsi="宋体"/>
          <w:i/>
          <w:sz w:val="24"/>
          <w:szCs w:val="24"/>
        </w:rPr>
        <w:t xml:space="preserve"> </w:t>
      </w:r>
    </w:p>
    <w:p w14:paraId="4B9FA8FD"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图5</w:t>
      </w:r>
    </w:p>
    <w:p w14:paraId="4722C00F" w14:textId="77777777" w:rsidR="00946C2F" w:rsidRPr="009E36B3" w:rsidRDefault="00000000">
      <w:pPr>
        <w:autoSpaceDE w:val="0"/>
        <w:autoSpaceDN w:val="0"/>
        <w:spacing w:line="360" w:lineRule="auto"/>
        <w:ind w:firstLineChars="200" w:firstLine="420"/>
        <w:jc w:val="center"/>
        <w:rPr>
          <w:rFonts w:ascii="宋体" w:hAnsi="宋体"/>
          <w:iCs/>
          <w:sz w:val="24"/>
          <w:szCs w:val="24"/>
        </w:rPr>
      </w:pPr>
      <w:r w:rsidRPr="009E36B3">
        <w:rPr>
          <w:rFonts w:ascii="宋体" w:hAnsi="宋体"/>
          <w:noProof/>
        </w:rPr>
        <w:drawing>
          <wp:inline distT="0" distB="0" distL="114300" distR="114300" wp14:anchorId="01FD88FE" wp14:editId="767D30B1">
            <wp:extent cx="5815330" cy="2643505"/>
            <wp:effectExtent l="0" t="0" r="444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
                    <a:stretch>
                      <a:fillRect/>
                    </a:stretch>
                  </pic:blipFill>
                  <pic:spPr>
                    <a:xfrm>
                      <a:off x="0" y="0"/>
                      <a:ext cx="5815330" cy="2643505"/>
                    </a:xfrm>
                    <a:prstGeom prst="rect">
                      <a:avLst/>
                    </a:prstGeom>
                    <a:noFill/>
                    <a:ln>
                      <a:noFill/>
                    </a:ln>
                  </pic:spPr>
                </pic:pic>
              </a:graphicData>
            </a:graphic>
          </wp:inline>
        </w:drawing>
      </w:r>
      <w:r w:rsidRPr="009E36B3">
        <w:rPr>
          <w:rFonts w:ascii="宋体" w:hAnsi="宋体" w:hint="eastAsia"/>
          <w:iCs/>
          <w:sz w:val="24"/>
          <w:szCs w:val="24"/>
        </w:rPr>
        <w:t xml:space="preserve"> </w:t>
      </w:r>
    </w:p>
    <w:p w14:paraId="1B2EEA99"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图6</w:t>
      </w:r>
    </w:p>
    <w:p w14:paraId="71EABFAD" w14:textId="77777777" w:rsidR="00946C2F" w:rsidRPr="009E36B3" w:rsidRDefault="00000000">
      <w:pPr>
        <w:autoSpaceDE w:val="0"/>
        <w:autoSpaceDN w:val="0"/>
        <w:spacing w:line="360" w:lineRule="auto"/>
        <w:ind w:firstLineChars="200" w:firstLine="480"/>
        <w:jc w:val="center"/>
        <w:rPr>
          <w:rFonts w:ascii="宋体" w:hAnsi="宋体"/>
          <w:iCs/>
          <w:sz w:val="24"/>
          <w:szCs w:val="24"/>
        </w:rPr>
      </w:pPr>
      <w:r w:rsidRPr="009E36B3">
        <w:rPr>
          <w:rFonts w:ascii="宋体" w:hAnsi="宋体" w:hint="eastAsia"/>
          <w:iCs/>
          <w:sz w:val="24"/>
          <w:szCs w:val="24"/>
        </w:rPr>
        <w:t xml:space="preserve"> </w:t>
      </w:r>
    </w:p>
    <w:p w14:paraId="55C856B8" w14:textId="77777777" w:rsidR="00946C2F" w:rsidRPr="009E36B3" w:rsidRDefault="00000000">
      <w:pPr>
        <w:autoSpaceDE w:val="0"/>
        <w:autoSpaceDN w:val="0"/>
        <w:spacing w:line="360" w:lineRule="auto"/>
        <w:ind w:firstLineChars="200" w:firstLine="420"/>
        <w:jc w:val="center"/>
        <w:rPr>
          <w:rFonts w:ascii="宋体" w:hAnsi="宋体"/>
          <w:i/>
          <w:sz w:val="24"/>
          <w:szCs w:val="24"/>
        </w:rPr>
      </w:pPr>
      <w:r w:rsidRPr="009E36B3">
        <w:rPr>
          <w:rFonts w:ascii="宋体" w:hAnsi="宋体"/>
          <w:noProof/>
        </w:rPr>
        <w:drawing>
          <wp:inline distT="0" distB="0" distL="114300" distR="114300" wp14:anchorId="3BC1EDE4" wp14:editId="19D00A7D">
            <wp:extent cx="5831840" cy="2708910"/>
            <wp:effectExtent l="0" t="0" r="698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5831840" cy="2708910"/>
                    </a:xfrm>
                    <a:prstGeom prst="rect">
                      <a:avLst/>
                    </a:prstGeom>
                    <a:noFill/>
                    <a:ln>
                      <a:noFill/>
                    </a:ln>
                  </pic:spPr>
                </pic:pic>
              </a:graphicData>
            </a:graphic>
          </wp:inline>
        </w:drawing>
      </w:r>
    </w:p>
    <w:p w14:paraId="01B3A8E3"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图7</w:t>
      </w:r>
    </w:p>
    <w:p w14:paraId="6462D059" w14:textId="77777777" w:rsidR="00946C2F" w:rsidRPr="009E36B3" w:rsidRDefault="00000000">
      <w:pPr>
        <w:autoSpaceDE w:val="0"/>
        <w:autoSpaceDN w:val="0"/>
        <w:spacing w:line="360" w:lineRule="auto"/>
        <w:ind w:firstLineChars="200" w:firstLine="480"/>
        <w:jc w:val="center"/>
        <w:rPr>
          <w:rFonts w:ascii="宋体" w:hAnsi="宋体"/>
          <w:i/>
          <w:sz w:val="24"/>
          <w:szCs w:val="24"/>
        </w:rPr>
      </w:pPr>
      <w:r w:rsidRPr="009E36B3">
        <w:rPr>
          <w:rFonts w:ascii="宋体" w:hAnsi="宋体"/>
          <w:i/>
          <w:noProof/>
          <w:sz w:val="24"/>
          <w:szCs w:val="24"/>
        </w:rPr>
        <w:drawing>
          <wp:inline distT="0" distB="0" distL="0" distR="0" wp14:anchorId="5D2F1BE6" wp14:editId="734E331F">
            <wp:extent cx="3857625" cy="3248025"/>
            <wp:effectExtent l="0" t="0" r="9525" b="9525"/>
            <wp:docPr id="87823166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31663" name="图片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857625" cy="3248025"/>
                    </a:xfrm>
                    <a:prstGeom prst="rect">
                      <a:avLst/>
                    </a:prstGeom>
                    <a:noFill/>
                    <a:ln>
                      <a:noFill/>
                    </a:ln>
                  </pic:spPr>
                </pic:pic>
              </a:graphicData>
            </a:graphic>
          </wp:inline>
        </w:drawing>
      </w:r>
      <w:r w:rsidRPr="009E36B3">
        <w:rPr>
          <w:rFonts w:ascii="宋体" w:hAnsi="宋体"/>
          <w:i/>
          <w:sz w:val="24"/>
          <w:szCs w:val="24"/>
        </w:rPr>
        <w:t xml:space="preserve"> </w:t>
      </w:r>
    </w:p>
    <w:p w14:paraId="3DDFD5E7"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图8</w:t>
      </w:r>
    </w:p>
    <w:p w14:paraId="4F1DDB27" w14:textId="77777777" w:rsidR="00946C2F" w:rsidRPr="009E36B3" w:rsidRDefault="00000000">
      <w:pPr>
        <w:autoSpaceDE w:val="0"/>
        <w:autoSpaceDN w:val="0"/>
        <w:spacing w:line="360" w:lineRule="auto"/>
        <w:ind w:firstLineChars="200" w:firstLine="480"/>
        <w:jc w:val="center"/>
        <w:rPr>
          <w:rFonts w:ascii="宋体" w:hAnsi="宋体"/>
          <w:iCs/>
          <w:sz w:val="24"/>
          <w:szCs w:val="24"/>
        </w:rPr>
      </w:pPr>
      <w:r w:rsidRPr="009E36B3">
        <w:rPr>
          <w:rFonts w:ascii="宋体" w:hAnsi="宋体"/>
          <w:i/>
          <w:noProof/>
          <w:sz w:val="24"/>
          <w:szCs w:val="24"/>
        </w:rPr>
        <w:drawing>
          <wp:inline distT="0" distB="0" distL="0" distR="0" wp14:anchorId="1A0C3409" wp14:editId="6134F5D7">
            <wp:extent cx="3590925" cy="1612900"/>
            <wp:effectExtent l="0" t="0" r="0" b="6350"/>
            <wp:docPr id="30664948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49488" name="图片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590925" cy="1612900"/>
                    </a:xfrm>
                    <a:prstGeom prst="rect">
                      <a:avLst/>
                    </a:prstGeom>
                    <a:noFill/>
                    <a:ln>
                      <a:noFill/>
                    </a:ln>
                  </pic:spPr>
                </pic:pic>
              </a:graphicData>
            </a:graphic>
          </wp:inline>
        </w:drawing>
      </w:r>
      <w:r w:rsidRPr="009E36B3">
        <w:rPr>
          <w:rFonts w:ascii="宋体" w:hAnsi="宋体" w:hint="eastAsia"/>
          <w:iCs/>
          <w:sz w:val="24"/>
          <w:szCs w:val="24"/>
        </w:rPr>
        <w:t xml:space="preserve"> </w:t>
      </w:r>
    </w:p>
    <w:p w14:paraId="476D5803" w14:textId="77777777" w:rsidR="00946C2F" w:rsidRPr="009E36B3" w:rsidRDefault="00000000">
      <w:pPr>
        <w:autoSpaceDE w:val="0"/>
        <w:autoSpaceDN w:val="0"/>
        <w:spacing w:line="360" w:lineRule="auto"/>
        <w:ind w:firstLineChars="200" w:firstLine="480"/>
        <w:jc w:val="center"/>
        <w:rPr>
          <w:rFonts w:ascii="宋体" w:hAnsi="宋体"/>
          <w:sz w:val="24"/>
          <w:szCs w:val="24"/>
        </w:rPr>
      </w:pPr>
      <w:r w:rsidRPr="009E36B3">
        <w:rPr>
          <w:rFonts w:ascii="宋体" w:hAnsi="宋体" w:hint="eastAsia"/>
          <w:sz w:val="24"/>
          <w:szCs w:val="24"/>
        </w:rPr>
        <w:t>图9</w:t>
      </w:r>
    </w:p>
    <w:p w14:paraId="48D633B2" w14:textId="77777777" w:rsidR="00946C2F" w:rsidRPr="009E36B3" w:rsidRDefault="00000000">
      <w:pPr>
        <w:autoSpaceDE w:val="0"/>
        <w:autoSpaceDN w:val="0"/>
        <w:spacing w:line="360" w:lineRule="auto"/>
        <w:ind w:firstLineChars="200" w:firstLine="480"/>
        <w:jc w:val="center"/>
        <w:rPr>
          <w:rFonts w:ascii="宋体" w:hAnsi="宋体"/>
          <w:iCs/>
          <w:sz w:val="24"/>
          <w:szCs w:val="24"/>
        </w:rPr>
      </w:pPr>
      <w:r w:rsidRPr="009E36B3">
        <w:rPr>
          <w:rFonts w:ascii="宋体" w:hAnsi="宋体"/>
          <w:i/>
          <w:noProof/>
          <w:sz w:val="24"/>
          <w:szCs w:val="24"/>
        </w:rPr>
        <w:drawing>
          <wp:inline distT="0" distB="0" distL="0" distR="0" wp14:anchorId="47C81844" wp14:editId="6257B667">
            <wp:extent cx="4095750" cy="3457575"/>
            <wp:effectExtent l="0" t="0" r="0" b="9525"/>
            <wp:docPr id="8984574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457466" name="图片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095750" cy="3457575"/>
                    </a:xfrm>
                    <a:prstGeom prst="rect">
                      <a:avLst/>
                    </a:prstGeom>
                    <a:noFill/>
                    <a:ln>
                      <a:noFill/>
                    </a:ln>
                  </pic:spPr>
                </pic:pic>
              </a:graphicData>
            </a:graphic>
          </wp:inline>
        </w:drawing>
      </w:r>
      <w:r w:rsidRPr="009E36B3">
        <w:rPr>
          <w:rFonts w:ascii="宋体" w:hAnsi="宋体"/>
          <w:i/>
          <w:sz w:val="24"/>
          <w:szCs w:val="24"/>
        </w:rPr>
        <w:t xml:space="preserve"> </w:t>
      </w:r>
    </w:p>
    <w:p w14:paraId="37433EE4" w14:textId="79BD9995" w:rsidR="00946C2F" w:rsidRPr="009E36B3" w:rsidRDefault="00000000" w:rsidP="009E36B3">
      <w:pPr>
        <w:autoSpaceDE w:val="0"/>
        <w:autoSpaceDN w:val="0"/>
        <w:spacing w:line="360" w:lineRule="auto"/>
        <w:ind w:firstLineChars="200" w:firstLine="480"/>
        <w:jc w:val="center"/>
        <w:rPr>
          <w:rFonts w:ascii="宋体" w:hAnsi="宋体"/>
        </w:rPr>
      </w:pPr>
      <w:r w:rsidRPr="009E36B3">
        <w:rPr>
          <w:rFonts w:ascii="宋体" w:hAnsi="宋体" w:hint="eastAsia"/>
          <w:sz w:val="24"/>
          <w:szCs w:val="24"/>
        </w:rPr>
        <w:t>图10</w:t>
      </w:r>
    </w:p>
    <w:sectPr w:rsidR="00946C2F" w:rsidRPr="009E36B3">
      <w:headerReference w:type="default" r:id="rId26"/>
      <w:pgSz w:w="11906" w:h="16838"/>
      <w:pgMar w:top="1588" w:right="1134" w:bottom="1134" w:left="1588" w:header="1134" w:footer="851" w:gutter="0"/>
      <w:pgNumType w:start="1"/>
      <w:cols w:space="425"/>
      <w:vAlign w:val="center"/>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8933F" w14:textId="77777777" w:rsidR="00EB64E3" w:rsidRDefault="00EB64E3">
      <w:r>
        <w:separator/>
      </w:r>
    </w:p>
  </w:endnote>
  <w:endnote w:type="continuationSeparator" w:id="0">
    <w:p w14:paraId="717F926A" w14:textId="77777777" w:rsidR="00EB64E3" w:rsidRDefault="00EB64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楷体_GB2312">
    <w:charset w:val="86"/>
    <w:family w:val="modern"/>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5437B" w14:textId="77777777" w:rsidR="00946C2F" w:rsidRDefault="00000000">
    <w:pPr>
      <w:pStyle w:val="ae"/>
      <w:jc w:val="center"/>
    </w:pPr>
    <w:r>
      <w:tab/>
    </w:r>
    <w:r>
      <w:fldChar w:fldCharType="begin"/>
    </w:r>
    <w:r>
      <w:instrText>PAGE   \* MERGEFORMAT</w:instrText>
    </w:r>
    <w:r>
      <w:fldChar w:fldCharType="separate"/>
    </w:r>
    <w:r>
      <w:rPr>
        <w:lang w:val="zh-CN"/>
      </w:rPr>
      <w:t>1</w:t>
    </w:r>
    <w:r>
      <w:rPr>
        <w:lang w:val="zh-CN"/>
      </w:rPr>
      <w:fldChar w:fldCharType="end"/>
    </w:r>
    <w:r>
      <w:tab/>
    </w:r>
    <w:r>
      <w:rPr>
        <w:rFonts w:hint="eastAsia"/>
      </w:rPr>
      <w:t>JT2223</w:t>
    </w:r>
  </w:p>
  <w:p w14:paraId="4ABA7E8E" w14:textId="77777777" w:rsidR="00946C2F" w:rsidRDefault="00946C2F">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98893" w14:textId="77777777" w:rsidR="00946C2F" w:rsidRDefault="00000000">
    <w:pPr>
      <w:pStyle w:val="ae"/>
      <w:tabs>
        <w:tab w:val="clear" w:pos="4153"/>
        <w:tab w:val="clear" w:pos="8306"/>
        <w:tab w:val="center" w:pos="4860"/>
        <w:tab w:val="right" w:pos="9000"/>
      </w:tabs>
      <w:jc w:val="both"/>
    </w:pPr>
    <w:r>
      <w:rPr>
        <w:kern w:val="0"/>
        <w:szCs w:val="21"/>
      </w:rPr>
      <w:tab/>
    </w:r>
    <w:r>
      <w:rPr>
        <w:kern w:val="0"/>
        <w:szCs w:val="21"/>
      </w:rPr>
      <w:fldChar w:fldCharType="begin"/>
    </w:r>
    <w:r>
      <w:rPr>
        <w:kern w:val="0"/>
        <w:szCs w:val="21"/>
      </w:rPr>
      <w:instrText xml:space="preserve"> PAGE </w:instrText>
    </w:r>
    <w:r>
      <w:rPr>
        <w:kern w:val="0"/>
        <w:szCs w:val="21"/>
      </w:rPr>
      <w:fldChar w:fldCharType="separate"/>
    </w:r>
    <w:r>
      <w:rPr>
        <w:kern w:val="0"/>
        <w:szCs w:val="21"/>
      </w:rPr>
      <w:t>3</w:t>
    </w:r>
    <w:r>
      <w:rPr>
        <w:kern w:val="0"/>
        <w:szCs w:val="21"/>
      </w:rPr>
      <w:fldChar w:fldCharType="end"/>
    </w:r>
    <w:r>
      <w:rPr>
        <w:kern w:val="0"/>
        <w:szCs w:val="21"/>
      </w:rPr>
      <w:tab/>
    </w:r>
    <w:r>
      <w:rPr>
        <w:rFonts w:hint="eastAsia"/>
        <w:kern w:val="0"/>
        <w:szCs w:val="21"/>
      </w:rPr>
      <w:t>JT2223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99D19" w14:textId="77777777" w:rsidR="00946C2F" w:rsidRDefault="00000000">
    <w:pPr>
      <w:pStyle w:val="ae"/>
      <w:tabs>
        <w:tab w:val="clear" w:pos="4153"/>
        <w:tab w:val="clear" w:pos="8306"/>
        <w:tab w:val="center" w:pos="4860"/>
        <w:tab w:val="right" w:pos="9000"/>
      </w:tabs>
      <w:jc w:val="both"/>
    </w:pPr>
    <w:r>
      <w:rPr>
        <w:kern w:val="0"/>
        <w:szCs w:val="21"/>
      </w:rPr>
      <w:tab/>
    </w:r>
    <w:r>
      <w:rPr>
        <w:kern w:val="0"/>
        <w:szCs w:val="21"/>
      </w:rPr>
      <w:fldChar w:fldCharType="begin"/>
    </w:r>
    <w:r>
      <w:rPr>
        <w:kern w:val="0"/>
        <w:szCs w:val="21"/>
      </w:rPr>
      <w:instrText xml:space="preserve"> PAGE </w:instrText>
    </w:r>
    <w:r>
      <w:rPr>
        <w:kern w:val="0"/>
        <w:szCs w:val="21"/>
      </w:rPr>
      <w:fldChar w:fldCharType="separate"/>
    </w:r>
    <w:r>
      <w:rPr>
        <w:kern w:val="0"/>
        <w:szCs w:val="21"/>
      </w:rPr>
      <w:t>1</w:t>
    </w:r>
    <w:r>
      <w:rPr>
        <w:kern w:val="0"/>
        <w:szCs w:val="21"/>
      </w:rPr>
      <w:fldChar w:fldCharType="end"/>
    </w:r>
    <w:r>
      <w:rPr>
        <w:kern w:val="0"/>
        <w:szCs w:val="21"/>
      </w:rPr>
      <w:tab/>
      <w:t>1500016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08D70" w14:textId="77777777" w:rsidR="00EB64E3" w:rsidRDefault="00EB64E3">
      <w:r>
        <w:separator/>
      </w:r>
    </w:p>
  </w:footnote>
  <w:footnote w:type="continuationSeparator" w:id="0">
    <w:p w14:paraId="0C790971" w14:textId="77777777" w:rsidR="00EB64E3" w:rsidRDefault="00EB64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6B6A2" w14:textId="7B036D1B" w:rsidR="00946C2F" w:rsidRDefault="007F5E71">
    <w:pPr>
      <w:pStyle w:val="af0"/>
      <w:rPr>
        <w:rFonts w:ascii="黑体" w:eastAsia="黑体"/>
        <w:spacing w:val="90"/>
        <w:sz w:val="28"/>
        <w:szCs w:val="28"/>
      </w:rPr>
    </w:pPr>
    <w:r>
      <w:rPr>
        <w:rFonts w:ascii="黑体" w:eastAsia="黑体" w:hint="eastAsia"/>
        <w:spacing w:val="90"/>
        <w:sz w:val="28"/>
        <w:szCs w:val="28"/>
      </w:rPr>
      <w:t>说明书</w:t>
    </w:r>
    <w:r w:rsidR="00000000">
      <w:rPr>
        <w:rFonts w:ascii="黑体" w:eastAsia="黑体" w:hint="eastAsia"/>
        <w:spacing w:val="90"/>
        <w:sz w:val="28"/>
        <w:szCs w:val="28"/>
      </w:rPr>
      <w:t>摘要</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5BB31" w14:textId="77777777" w:rsidR="00946C2F" w:rsidRDefault="00000000">
    <w:pPr>
      <w:pStyle w:val="af0"/>
      <w:rPr>
        <w:rFonts w:ascii="黑体" w:eastAsia="黑体"/>
        <w:spacing w:val="90"/>
        <w:sz w:val="28"/>
        <w:szCs w:val="28"/>
      </w:rPr>
    </w:pPr>
    <w:r>
      <w:rPr>
        <w:rFonts w:ascii="黑体" w:eastAsia="黑体" w:hint="eastAsia"/>
        <w:spacing w:val="90"/>
        <w:sz w:val="28"/>
        <w:szCs w:val="28"/>
      </w:rPr>
      <w:t>摘要附图</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02A9D" w14:textId="77777777" w:rsidR="00946C2F" w:rsidRDefault="00000000">
    <w:pPr>
      <w:pStyle w:val="af0"/>
    </w:pPr>
    <w:r>
      <w:rPr>
        <w:rFonts w:ascii="黑体" w:eastAsia="黑体" w:hint="eastAsia"/>
        <w:spacing w:val="90"/>
        <w:sz w:val="28"/>
        <w:szCs w:val="28"/>
      </w:rPr>
      <w:t>权利要求书</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738E" w14:textId="77777777" w:rsidR="00946C2F" w:rsidRDefault="00000000">
    <w:pPr>
      <w:pStyle w:val="af0"/>
    </w:pPr>
    <w:r>
      <w:rPr>
        <w:rFonts w:ascii="黑体" w:eastAsia="黑体" w:hint="eastAsia"/>
        <w:spacing w:val="90"/>
        <w:sz w:val="28"/>
        <w:szCs w:val="28"/>
      </w:rPr>
      <w:t>权利要求书</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F9894" w14:textId="77777777" w:rsidR="00946C2F" w:rsidRDefault="00000000">
    <w:pPr>
      <w:pStyle w:val="af0"/>
      <w:rPr>
        <w:rFonts w:ascii="黑体" w:eastAsia="黑体"/>
        <w:spacing w:val="90"/>
        <w:sz w:val="28"/>
        <w:szCs w:val="28"/>
      </w:rPr>
    </w:pPr>
    <w:r>
      <w:rPr>
        <w:rFonts w:ascii="黑体" w:eastAsia="黑体" w:hint="eastAsia"/>
        <w:spacing w:val="90"/>
        <w:sz w:val="28"/>
        <w:szCs w:val="28"/>
      </w:rPr>
      <w:t>说明书</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C3DC9" w14:textId="77777777" w:rsidR="00946C2F" w:rsidRDefault="00000000">
    <w:pPr>
      <w:pStyle w:val="af0"/>
    </w:pPr>
    <w:r>
      <w:rPr>
        <w:rFonts w:ascii="黑体" w:eastAsia="黑体" w:hint="eastAsia"/>
        <w:spacing w:val="90"/>
        <w:sz w:val="28"/>
        <w:szCs w:val="28"/>
      </w:rPr>
      <w:t>说明书附图</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036B2B"/>
    <w:multiLevelType w:val="multilevel"/>
    <w:tmpl w:val="32036B2B"/>
    <w:lvl w:ilvl="0">
      <w:start w:val="1"/>
      <w:numFmt w:val="decimal"/>
      <w:pStyle w:val="a"/>
      <w:lvlText w:val="[%1]"/>
      <w:lvlJc w:val="right"/>
      <w:pPr>
        <w:tabs>
          <w:tab w:val="left" w:pos="567"/>
        </w:tabs>
      </w:pPr>
      <w:rPr>
        <w:rFonts w:ascii="Times New Roman" w:eastAsia="宋体" w:hAnsi="Times New Roman" w:cs="Times New Roman" w:hint="default"/>
        <w:color w:val="FF0000"/>
        <w:spacing w:val="0"/>
        <w:kern w:val="28"/>
        <w:sz w:val="28"/>
        <w:szCs w:val="28"/>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num w:numId="1" w16cid:durableId="21445358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oNotTrackMoves/>
  <w:defaultTabStop w:val="420"/>
  <w:drawingGridHorizontalSpacing w:val="105"/>
  <w:drawingGridVerticalSpacing w:val="156"/>
  <w:noPunctuationKerning/>
  <w:characterSpacingControl w:val="compressPunctuation"/>
  <w:noLineBreaksAfter w:lang="zh-CN" w:val="$([{£¥·‘“〈《「『【〔〖〝﹙﹛﹝＄（．［｛￡￥"/>
  <w:noLineBreaksBefore w:lang="zh-CN" w:val="!%),.:;&gt;?]}¢¨°·ˇˉ―‖’”…‰′″›℃∶、。〃〉》」』】〕〗〞︶︺︾﹀﹄﹚﹜﹞！＂％＇），．：；？］｀｜｝～￠"/>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U3YWIyNjlhODlkMWUyODU3NzY1ODBmYjllNjhmZTYifQ=="/>
  </w:docVars>
  <w:rsids>
    <w:rsidRoot w:val="00FA1BF1"/>
    <w:rsid w:val="00000011"/>
    <w:rsid w:val="0000125C"/>
    <w:rsid w:val="00001792"/>
    <w:rsid w:val="0000320F"/>
    <w:rsid w:val="000033AE"/>
    <w:rsid w:val="000034FC"/>
    <w:rsid w:val="000036E6"/>
    <w:rsid w:val="00003BB4"/>
    <w:rsid w:val="00005EE8"/>
    <w:rsid w:val="00005F67"/>
    <w:rsid w:val="00006D53"/>
    <w:rsid w:val="00006EA0"/>
    <w:rsid w:val="00007491"/>
    <w:rsid w:val="00007D40"/>
    <w:rsid w:val="00010175"/>
    <w:rsid w:val="0001036E"/>
    <w:rsid w:val="000128B9"/>
    <w:rsid w:val="00012ACD"/>
    <w:rsid w:val="00012DDB"/>
    <w:rsid w:val="000133D5"/>
    <w:rsid w:val="000137B6"/>
    <w:rsid w:val="00014657"/>
    <w:rsid w:val="00014F13"/>
    <w:rsid w:val="000158C9"/>
    <w:rsid w:val="00015BCC"/>
    <w:rsid w:val="000168B6"/>
    <w:rsid w:val="00016965"/>
    <w:rsid w:val="0001788A"/>
    <w:rsid w:val="00017C1C"/>
    <w:rsid w:val="00017F8A"/>
    <w:rsid w:val="0002015F"/>
    <w:rsid w:val="00020D13"/>
    <w:rsid w:val="00020FD7"/>
    <w:rsid w:val="0002165B"/>
    <w:rsid w:val="00021EB4"/>
    <w:rsid w:val="00021FDD"/>
    <w:rsid w:val="00023D29"/>
    <w:rsid w:val="0002428E"/>
    <w:rsid w:val="00024909"/>
    <w:rsid w:val="000258B9"/>
    <w:rsid w:val="00025D07"/>
    <w:rsid w:val="000264AF"/>
    <w:rsid w:val="00026C3F"/>
    <w:rsid w:val="000278D8"/>
    <w:rsid w:val="00030547"/>
    <w:rsid w:val="000329BB"/>
    <w:rsid w:val="00032A56"/>
    <w:rsid w:val="00034C7A"/>
    <w:rsid w:val="00040682"/>
    <w:rsid w:val="00041384"/>
    <w:rsid w:val="00041888"/>
    <w:rsid w:val="000428D8"/>
    <w:rsid w:val="00043906"/>
    <w:rsid w:val="00043DCB"/>
    <w:rsid w:val="00043E8F"/>
    <w:rsid w:val="000440D0"/>
    <w:rsid w:val="000444CF"/>
    <w:rsid w:val="00045B12"/>
    <w:rsid w:val="00045D87"/>
    <w:rsid w:val="00046718"/>
    <w:rsid w:val="00047597"/>
    <w:rsid w:val="0004788B"/>
    <w:rsid w:val="000515DD"/>
    <w:rsid w:val="000526E8"/>
    <w:rsid w:val="000530ED"/>
    <w:rsid w:val="00054084"/>
    <w:rsid w:val="000546A3"/>
    <w:rsid w:val="000554B3"/>
    <w:rsid w:val="00055A9D"/>
    <w:rsid w:val="000565BE"/>
    <w:rsid w:val="00057037"/>
    <w:rsid w:val="00057247"/>
    <w:rsid w:val="0005766B"/>
    <w:rsid w:val="00061315"/>
    <w:rsid w:val="0006206B"/>
    <w:rsid w:val="00062106"/>
    <w:rsid w:val="00062757"/>
    <w:rsid w:val="00063C9F"/>
    <w:rsid w:val="0006475D"/>
    <w:rsid w:val="00065671"/>
    <w:rsid w:val="00065F76"/>
    <w:rsid w:val="00066350"/>
    <w:rsid w:val="00066A77"/>
    <w:rsid w:val="00066C4E"/>
    <w:rsid w:val="00067B28"/>
    <w:rsid w:val="000700F3"/>
    <w:rsid w:val="00070A7F"/>
    <w:rsid w:val="0007504B"/>
    <w:rsid w:val="00075662"/>
    <w:rsid w:val="00075D6D"/>
    <w:rsid w:val="00075FFE"/>
    <w:rsid w:val="0007643F"/>
    <w:rsid w:val="000774C8"/>
    <w:rsid w:val="000802FE"/>
    <w:rsid w:val="0008091F"/>
    <w:rsid w:val="00080A4B"/>
    <w:rsid w:val="00080AE3"/>
    <w:rsid w:val="00081A17"/>
    <w:rsid w:val="00082064"/>
    <w:rsid w:val="0008228D"/>
    <w:rsid w:val="00083D1A"/>
    <w:rsid w:val="00084899"/>
    <w:rsid w:val="00084F0E"/>
    <w:rsid w:val="000854F5"/>
    <w:rsid w:val="000855E5"/>
    <w:rsid w:val="00085B4D"/>
    <w:rsid w:val="00085C23"/>
    <w:rsid w:val="000862CB"/>
    <w:rsid w:val="0008633D"/>
    <w:rsid w:val="0008660E"/>
    <w:rsid w:val="00087B90"/>
    <w:rsid w:val="00090637"/>
    <w:rsid w:val="00090CFE"/>
    <w:rsid w:val="000911E2"/>
    <w:rsid w:val="0009251B"/>
    <w:rsid w:val="000927EC"/>
    <w:rsid w:val="00092AB0"/>
    <w:rsid w:val="000956CA"/>
    <w:rsid w:val="00095E8F"/>
    <w:rsid w:val="0009673C"/>
    <w:rsid w:val="000977E6"/>
    <w:rsid w:val="000A0703"/>
    <w:rsid w:val="000A0C55"/>
    <w:rsid w:val="000A0E3A"/>
    <w:rsid w:val="000A1226"/>
    <w:rsid w:val="000A1C6F"/>
    <w:rsid w:val="000A1E7A"/>
    <w:rsid w:val="000A2E76"/>
    <w:rsid w:val="000A40D7"/>
    <w:rsid w:val="000A46AE"/>
    <w:rsid w:val="000A47AB"/>
    <w:rsid w:val="000A47FC"/>
    <w:rsid w:val="000A4BDE"/>
    <w:rsid w:val="000A5269"/>
    <w:rsid w:val="000A5B77"/>
    <w:rsid w:val="000A6064"/>
    <w:rsid w:val="000A6394"/>
    <w:rsid w:val="000A6786"/>
    <w:rsid w:val="000A696A"/>
    <w:rsid w:val="000A6D06"/>
    <w:rsid w:val="000A79C4"/>
    <w:rsid w:val="000B0140"/>
    <w:rsid w:val="000B021A"/>
    <w:rsid w:val="000B037A"/>
    <w:rsid w:val="000B05B8"/>
    <w:rsid w:val="000B0979"/>
    <w:rsid w:val="000B0D26"/>
    <w:rsid w:val="000B1336"/>
    <w:rsid w:val="000B1E76"/>
    <w:rsid w:val="000B28B4"/>
    <w:rsid w:val="000B2B8B"/>
    <w:rsid w:val="000B2DF7"/>
    <w:rsid w:val="000B3670"/>
    <w:rsid w:val="000B39FE"/>
    <w:rsid w:val="000B4606"/>
    <w:rsid w:val="000B474A"/>
    <w:rsid w:val="000B4CE8"/>
    <w:rsid w:val="000B5641"/>
    <w:rsid w:val="000B6BA6"/>
    <w:rsid w:val="000B7126"/>
    <w:rsid w:val="000B7644"/>
    <w:rsid w:val="000B7E4E"/>
    <w:rsid w:val="000C03B7"/>
    <w:rsid w:val="000C1064"/>
    <w:rsid w:val="000C201F"/>
    <w:rsid w:val="000C2A20"/>
    <w:rsid w:val="000C3413"/>
    <w:rsid w:val="000C35B1"/>
    <w:rsid w:val="000C4208"/>
    <w:rsid w:val="000C43FD"/>
    <w:rsid w:val="000C4A08"/>
    <w:rsid w:val="000C5CEB"/>
    <w:rsid w:val="000C6BB6"/>
    <w:rsid w:val="000C7D0C"/>
    <w:rsid w:val="000D0AB5"/>
    <w:rsid w:val="000D26F1"/>
    <w:rsid w:val="000D2864"/>
    <w:rsid w:val="000D2F33"/>
    <w:rsid w:val="000D385D"/>
    <w:rsid w:val="000D4582"/>
    <w:rsid w:val="000D48B9"/>
    <w:rsid w:val="000D62FB"/>
    <w:rsid w:val="000D7D7A"/>
    <w:rsid w:val="000E06FC"/>
    <w:rsid w:val="000E0B21"/>
    <w:rsid w:val="000E10B7"/>
    <w:rsid w:val="000E3463"/>
    <w:rsid w:val="000E40CD"/>
    <w:rsid w:val="000E46E5"/>
    <w:rsid w:val="000E5D21"/>
    <w:rsid w:val="000E5E76"/>
    <w:rsid w:val="000E74AC"/>
    <w:rsid w:val="000E74E2"/>
    <w:rsid w:val="000F085E"/>
    <w:rsid w:val="000F09BA"/>
    <w:rsid w:val="000F1319"/>
    <w:rsid w:val="000F18EF"/>
    <w:rsid w:val="000F219C"/>
    <w:rsid w:val="000F242A"/>
    <w:rsid w:val="000F3459"/>
    <w:rsid w:val="000F3551"/>
    <w:rsid w:val="000F4B48"/>
    <w:rsid w:val="000F575A"/>
    <w:rsid w:val="000F581F"/>
    <w:rsid w:val="000F6611"/>
    <w:rsid w:val="000F69FA"/>
    <w:rsid w:val="000F6D0B"/>
    <w:rsid w:val="000F7262"/>
    <w:rsid w:val="000F776A"/>
    <w:rsid w:val="000F7D68"/>
    <w:rsid w:val="0010197B"/>
    <w:rsid w:val="00101A4B"/>
    <w:rsid w:val="00101AD1"/>
    <w:rsid w:val="0010235B"/>
    <w:rsid w:val="00103ED9"/>
    <w:rsid w:val="0010444D"/>
    <w:rsid w:val="001073AD"/>
    <w:rsid w:val="0010744A"/>
    <w:rsid w:val="0010746C"/>
    <w:rsid w:val="001079DF"/>
    <w:rsid w:val="00107DAB"/>
    <w:rsid w:val="001101F5"/>
    <w:rsid w:val="00111230"/>
    <w:rsid w:val="001120E9"/>
    <w:rsid w:val="001126E2"/>
    <w:rsid w:val="00112A53"/>
    <w:rsid w:val="00112C38"/>
    <w:rsid w:val="00112D96"/>
    <w:rsid w:val="00112E8F"/>
    <w:rsid w:val="0011365F"/>
    <w:rsid w:val="001153A2"/>
    <w:rsid w:val="00115850"/>
    <w:rsid w:val="00115859"/>
    <w:rsid w:val="0011595C"/>
    <w:rsid w:val="00115FF3"/>
    <w:rsid w:val="001166D9"/>
    <w:rsid w:val="00117383"/>
    <w:rsid w:val="001209A7"/>
    <w:rsid w:val="001216A8"/>
    <w:rsid w:val="0012235A"/>
    <w:rsid w:val="0012353F"/>
    <w:rsid w:val="001238FC"/>
    <w:rsid w:val="00123D8B"/>
    <w:rsid w:val="0012484F"/>
    <w:rsid w:val="00124FDA"/>
    <w:rsid w:val="001265B8"/>
    <w:rsid w:val="00126870"/>
    <w:rsid w:val="00126A76"/>
    <w:rsid w:val="001279F1"/>
    <w:rsid w:val="00130EC1"/>
    <w:rsid w:val="001315D6"/>
    <w:rsid w:val="001327D5"/>
    <w:rsid w:val="00133019"/>
    <w:rsid w:val="001343B7"/>
    <w:rsid w:val="00134D4A"/>
    <w:rsid w:val="0013501B"/>
    <w:rsid w:val="001355B9"/>
    <w:rsid w:val="001358E6"/>
    <w:rsid w:val="00135E83"/>
    <w:rsid w:val="00135F6C"/>
    <w:rsid w:val="00137ECE"/>
    <w:rsid w:val="00140076"/>
    <w:rsid w:val="001404A5"/>
    <w:rsid w:val="00140E1E"/>
    <w:rsid w:val="00141C34"/>
    <w:rsid w:val="001425D3"/>
    <w:rsid w:val="001436FE"/>
    <w:rsid w:val="00143F8B"/>
    <w:rsid w:val="00144D46"/>
    <w:rsid w:val="00145C09"/>
    <w:rsid w:val="00145D61"/>
    <w:rsid w:val="00147257"/>
    <w:rsid w:val="001476FD"/>
    <w:rsid w:val="001504DA"/>
    <w:rsid w:val="00151521"/>
    <w:rsid w:val="00151662"/>
    <w:rsid w:val="001517AD"/>
    <w:rsid w:val="001517FD"/>
    <w:rsid w:val="0015244B"/>
    <w:rsid w:val="001530A8"/>
    <w:rsid w:val="00153349"/>
    <w:rsid w:val="00153838"/>
    <w:rsid w:val="00154017"/>
    <w:rsid w:val="00154860"/>
    <w:rsid w:val="0015498B"/>
    <w:rsid w:val="00154B2C"/>
    <w:rsid w:val="00154EBF"/>
    <w:rsid w:val="001559BE"/>
    <w:rsid w:val="00155D72"/>
    <w:rsid w:val="00156DC7"/>
    <w:rsid w:val="00160392"/>
    <w:rsid w:val="00161080"/>
    <w:rsid w:val="00162652"/>
    <w:rsid w:val="00162DE9"/>
    <w:rsid w:val="001632A5"/>
    <w:rsid w:val="001634FE"/>
    <w:rsid w:val="00163707"/>
    <w:rsid w:val="0016371A"/>
    <w:rsid w:val="001651C2"/>
    <w:rsid w:val="00165A23"/>
    <w:rsid w:val="00165BE7"/>
    <w:rsid w:val="00166A72"/>
    <w:rsid w:val="001672EA"/>
    <w:rsid w:val="00167B4C"/>
    <w:rsid w:val="00170231"/>
    <w:rsid w:val="00170634"/>
    <w:rsid w:val="00170F33"/>
    <w:rsid w:val="00171092"/>
    <w:rsid w:val="0017157F"/>
    <w:rsid w:val="00171887"/>
    <w:rsid w:val="00172BEC"/>
    <w:rsid w:val="00173206"/>
    <w:rsid w:val="00173F63"/>
    <w:rsid w:val="0017401D"/>
    <w:rsid w:val="00174094"/>
    <w:rsid w:val="00174195"/>
    <w:rsid w:val="00174644"/>
    <w:rsid w:val="0017515D"/>
    <w:rsid w:val="00176E31"/>
    <w:rsid w:val="00177675"/>
    <w:rsid w:val="00181C3E"/>
    <w:rsid w:val="001825CF"/>
    <w:rsid w:val="00183075"/>
    <w:rsid w:val="00183EBD"/>
    <w:rsid w:val="0018419C"/>
    <w:rsid w:val="0018470A"/>
    <w:rsid w:val="001851F4"/>
    <w:rsid w:val="00190296"/>
    <w:rsid w:val="00191F06"/>
    <w:rsid w:val="00192925"/>
    <w:rsid w:val="00192AA0"/>
    <w:rsid w:val="00193581"/>
    <w:rsid w:val="00193787"/>
    <w:rsid w:val="00193CA7"/>
    <w:rsid w:val="00194D4D"/>
    <w:rsid w:val="00195CFD"/>
    <w:rsid w:val="00196060"/>
    <w:rsid w:val="00197FBE"/>
    <w:rsid w:val="001A00A6"/>
    <w:rsid w:val="001A022D"/>
    <w:rsid w:val="001A0334"/>
    <w:rsid w:val="001A0BB5"/>
    <w:rsid w:val="001A0CE4"/>
    <w:rsid w:val="001A12DB"/>
    <w:rsid w:val="001A165E"/>
    <w:rsid w:val="001A391F"/>
    <w:rsid w:val="001A3A30"/>
    <w:rsid w:val="001A3C33"/>
    <w:rsid w:val="001A40FD"/>
    <w:rsid w:val="001A418A"/>
    <w:rsid w:val="001A4F89"/>
    <w:rsid w:val="001A5D1F"/>
    <w:rsid w:val="001A6F09"/>
    <w:rsid w:val="001A6F80"/>
    <w:rsid w:val="001A7C03"/>
    <w:rsid w:val="001B0303"/>
    <w:rsid w:val="001B06DE"/>
    <w:rsid w:val="001B081D"/>
    <w:rsid w:val="001B0A19"/>
    <w:rsid w:val="001B1B3E"/>
    <w:rsid w:val="001B1D49"/>
    <w:rsid w:val="001B260A"/>
    <w:rsid w:val="001B2EAA"/>
    <w:rsid w:val="001B3BB2"/>
    <w:rsid w:val="001B5072"/>
    <w:rsid w:val="001B563D"/>
    <w:rsid w:val="001B6705"/>
    <w:rsid w:val="001B6776"/>
    <w:rsid w:val="001B67A2"/>
    <w:rsid w:val="001B6ED2"/>
    <w:rsid w:val="001B7067"/>
    <w:rsid w:val="001B712F"/>
    <w:rsid w:val="001B7280"/>
    <w:rsid w:val="001B783A"/>
    <w:rsid w:val="001B7928"/>
    <w:rsid w:val="001C0559"/>
    <w:rsid w:val="001C05C6"/>
    <w:rsid w:val="001C1179"/>
    <w:rsid w:val="001C18F0"/>
    <w:rsid w:val="001C1EE7"/>
    <w:rsid w:val="001C2315"/>
    <w:rsid w:val="001C2365"/>
    <w:rsid w:val="001C24AC"/>
    <w:rsid w:val="001C27A4"/>
    <w:rsid w:val="001C3208"/>
    <w:rsid w:val="001C47A1"/>
    <w:rsid w:val="001C6366"/>
    <w:rsid w:val="001C7449"/>
    <w:rsid w:val="001C7BFE"/>
    <w:rsid w:val="001D0282"/>
    <w:rsid w:val="001D0817"/>
    <w:rsid w:val="001D086A"/>
    <w:rsid w:val="001D09B3"/>
    <w:rsid w:val="001D09BA"/>
    <w:rsid w:val="001D1426"/>
    <w:rsid w:val="001D19AA"/>
    <w:rsid w:val="001D266B"/>
    <w:rsid w:val="001D26A6"/>
    <w:rsid w:val="001D2D30"/>
    <w:rsid w:val="001D3916"/>
    <w:rsid w:val="001D3928"/>
    <w:rsid w:val="001D4508"/>
    <w:rsid w:val="001D4E27"/>
    <w:rsid w:val="001D5C9D"/>
    <w:rsid w:val="001D795A"/>
    <w:rsid w:val="001E0624"/>
    <w:rsid w:val="001E0B65"/>
    <w:rsid w:val="001E0D4E"/>
    <w:rsid w:val="001E0FDF"/>
    <w:rsid w:val="001E1165"/>
    <w:rsid w:val="001E1AED"/>
    <w:rsid w:val="001E1B05"/>
    <w:rsid w:val="001E1B7F"/>
    <w:rsid w:val="001E2525"/>
    <w:rsid w:val="001E2C11"/>
    <w:rsid w:val="001E3AB1"/>
    <w:rsid w:val="001E4BEB"/>
    <w:rsid w:val="001E5153"/>
    <w:rsid w:val="001E55E4"/>
    <w:rsid w:val="001E5F78"/>
    <w:rsid w:val="001E64A1"/>
    <w:rsid w:val="001E64C5"/>
    <w:rsid w:val="001E664E"/>
    <w:rsid w:val="001E6C9F"/>
    <w:rsid w:val="001E6E98"/>
    <w:rsid w:val="001E6EAD"/>
    <w:rsid w:val="001F01ED"/>
    <w:rsid w:val="001F024D"/>
    <w:rsid w:val="001F0FFB"/>
    <w:rsid w:val="001F10DC"/>
    <w:rsid w:val="001F14DA"/>
    <w:rsid w:val="001F1F5F"/>
    <w:rsid w:val="001F2EB3"/>
    <w:rsid w:val="001F4239"/>
    <w:rsid w:val="001F4661"/>
    <w:rsid w:val="001F50BB"/>
    <w:rsid w:val="001F6C3B"/>
    <w:rsid w:val="002001E9"/>
    <w:rsid w:val="002008E3"/>
    <w:rsid w:val="00201889"/>
    <w:rsid w:val="002033F4"/>
    <w:rsid w:val="00203DF2"/>
    <w:rsid w:val="00205B5E"/>
    <w:rsid w:val="00205E06"/>
    <w:rsid w:val="0020606F"/>
    <w:rsid w:val="0020685A"/>
    <w:rsid w:val="00207613"/>
    <w:rsid w:val="002079F5"/>
    <w:rsid w:val="00210B13"/>
    <w:rsid w:val="002111AE"/>
    <w:rsid w:val="00211972"/>
    <w:rsid w:val="002126DD"/>
    <w:rsid w:val="00213D57"/>
    <w:rsid w:val="002152D1"/>
    <w:rsid w:val="00215342"/>
    <w:rsid w:val="00215381"/>
    <w:rsid w:val="00215C47"/>
    <w:rsid w:val="00215C81"/>
    <w:rsid w:val="002160B5"/>
    <w:rsid w:val="0021666E"/>
    <w:rsid w:val="002169BF"/>
    <w:rsid w:val="0021755B"/>
    <w:rsid w:val="002200F5"/>
    <w:rsid w:val="0022116A"/>
    <w:rsid w:val="0022301E"/>
    <w:rsid w:val="00224104"/>
    <w:rsid w:val="00224746"/>
    <w:rsid w:val="00224C7A"/>
    <w:rsid w:val="00225978"/>
    <w:rsid w:val="00225F6A"/>
    <w:rsid w:val="002268E3"/>
    <w:rsid w:val="00227A75"/>
    <w:rsid w:val="00227E9D"/>
    <w:rsid w:val="00231682"/>
    <w:rsid w:val="002329CC"/>
    <w:rsid w:val="00232A93"/>
    <w:rsid w:val="002337AE"/>
    <w:rsid w:val="00233F2F"/>
    <w:rsid w:val="00234874"/>
    <w:rsid w:val="00234BA6"/>
    <w:rsid w:val="00234E69"/>
    <w:rsid w:val="00235114"/>
    <w:rsid w:val="002352D9"/>
    <w:rsid w:val="00235761"/>
    <w:rsid w:val="00235D43"/>
    <w:rsid w:val="00236697"/>
    <w:rsid w:val="00236930"/>
    <w:rsid w:val="00236DF8"/>
    <w:rsid w:val="002375F8"/>
    <w:rsid w:val="00240FDE"/>
    <w:rsid w:val="00241356"/>
    <w:rsid w:val="00241D55"/>
    <w:rsid w:val="0024263C"/>
    <w:rsid w:val="00242F95"/>
    <w:rsid w:val="0024320C"/>
    <w:rsid w:val="00243ACC"/>
    <w:rsid w:val="00243AF0"/>
    <w:rsid w:val="00244964"/>
    <w:rsid w:val="00244D2A"/>
    <w:rsid w:val="00245D5F"/>
    <w:rsid w:val="00245DE9"/>
    <w:rsid w:val="002464E3"/>
    <w:rsid w:val="00246826"/>
    <w:rsid w:val="002468A8"/>
    <w:rsid w:val="002473B7"/>
    <w:rsid w:val="002478CE"/>
    <w:rsid w:val="00247F78"/>
    <w:rsid w:val="0025026D"/>
    <w:rsid w:val="00250F8E"/>
    <w:rsid w:val="002516D5"/>
    <w:rsid w:val="002535F4"/>
    <w:rsid w:val="00253F45"/>
    <w:rsid w:val="002555F7"/>
    <w:rsid w:val="00255B51"/>
    <w:rsid w:val="00255B8A"/>
    <w:rsid w:val="0025613A"/>
    <w:rsid w:val="002569CE"/>
    <w:rsid w:val="00256E0A"/>
    <w:rsid w:val="00257098"/>
    <w:rsid w:val="002575DD"/>
    <w:rsid w:val="00257B61"/>
    <w:rsid w:val="00260665"/>
    <w:rsid w:val="002617EB"/>
    <w:rsid w:val="00261C16"/>
    <w:rsid w:val="00262166"/>
    <w:rsid w:val="00262F2D"/>
    <w:rsid w:val="002631BE"/>
    <w:rsid w:val="002639EA"/>
    <w:rsid w:val="002650F8"/>
    <w:rsid w:val="00265150"/>
    <w:rsid w:val="002655BD"/>
    <w:rsid w:val="00265FDE"/>
    <w:rsid w:val="002661D2"/>
    <w:rsid w:val="00266219"/>
    <w:rsid w:val="002665D3"/>
    <w:rsid w:val="002667BC"/>
    <w:rsid w:val="002669D2"/>
    <w:rsid w:val="00266FC9"/>
    <w:rsid w:val="00267263"/>
    <w:rsid w:val="00267776"/>
    <w:rsid w:val="0026790D"/>
    <w:rsid w:val="00267921"/>
    <w:rsid w:val="00267E96"/>
    <w:rsid w:val="00270413"/>
    <w:rsid w:val="00270772"/>
    <w:rsid w:val="00270A41"/>
    <w:rsid w:val="002710CB"/>
    <w:rsid w:val="0027143E"/>
    <w:rsid w:val="00271529"/>
    <w:rsid w:val="00271776"/>
    <w:rsid w:val="00272675"/>
    <w:rsid w:val="00273A5B"/>
    <w:rsid w:val="002749BD"/>
    <w:rsid w:val="00274E3D"/>
    <w:rsid w:val="0027553B"/>
    <w:rsid w:val="00275D3D"/>
    <w:rsid w:val="00275E9D"/>
    <w:rsid w:val="0027764A"/>
    <w:rsid w:val="0028068F"/>
    <w:rsid w:val="00280DEF"/>
    <w:rsid w:val="0028131A"/>
    <w:rsid w:val="00281446"/>
    <w:rsid w:val="002815D8"/>
    <w:rsid w:val="00282403"/>
    <w:rsid w:val="002837EF"/>
    <w:rsid w:val="00283E0C"/>
    <w:rsid w:val="002846B8"/>
    <w:rsid w:val="00284A5C"/>
    <w:rsid w:val="00284A66"/>
    <w:rsid w:val="00284EDC"/>
    <w:rsid w:val="00285259"/>
    <w:rsid w:val="002856BE"/>
    <w:rsid w:val="00286541"/>
    <w:rsid w:val="0028679D"/>
    <w:rsid w:val="00286D73"/>
    <w:rsid w:val="00286E29"/>
    <w:rsid w:val="00286F62"/>
    <w:rsid w:val="002872F7"/>
    <w:rsid w:val="00287DA7"/>
    <w:rsid w:val="00287EC2"/>
    <w:rsid w:val="00290743"/>
    <w:rsid w:val="00290A1C"/>
    <w:rsid w:val="00291241"/>
    <w:rsid w:val="00291C45"/>
    <w:rsid w:val="0029270D"/>
    <w:rsid w:val="00292D6E"/>
    <w:rsid w:val="00293AF1"/>
    <w:rsid w:val="00294B70"/>
    <w:rsid w:val="002953EC"/>
    <w:rsid w:val="002954B5"/>
    <w:rsid w:val="00296E07"/>
    <w:rsid w:val="00297E4C"/>
    <w:rsid w:val="00297F03"/>
    <w:rsid w:val="002A000A"/>
    <w:rsid w:val="002A0FAF"/>
    <w:rsid w:val="002A1AC0"/>
    <w:rsid w:val="002A1E1B"/>
    <w:rsid w:val="002A28FB"/>
    <w:rsid w:val="002A33F1"/>
    <w:rsid w:val="002A4157"/>
    <w:rsid w:val="002A505F"/>
    <w:rsid w:val="002A53CD"/>
    <w:rsid w:val="002A60F8"/>
    <w:rsid w:val="002A68B4"/>
    <w:rsid w:val="002A7188"/>
    <w:rsid w:val="002B00C2"/>
    <w:rsid w:val="002B0B01"/>
    <w:rsid w:val="002B104E"/>
    <w:rsid w:val="002B1182"/>
    <w:rsid w:val="002B12AB"/>
    <w:rsid w:val="002B1FC8"/>
    <w:rsid w:val="002B2052"/>
    <w:rsid w:val="002B245E"/>
    <w:rsid w:val="002B2825"/>
    <w:rsid w:val="002B2CA9"/>
    <w:rsid w:val="002B2EFF"/>
    <w:rsid w:val="002B4D1A"/>
    <w:rsid w:val="002B4DA4"/>
    <w:rsid w:val="002B55B0"/>
    <w:rsid w:val="002B5E01"/>
    <w:rsid w:val="002B6C32"/>
    <w:rsid w:val="002B6E44"/>
    <w:rsid w:val="002B77F9"/>
    <w:rsid w:val="002C014D"/>
    <w:rsid w:val="002C0EF4"/>
    <w:rsid w:val="002C192D"/>
    <w:rsid w:val="002C37F0"/>
    <w:rsid w:val="002C4275"/>
    <w:rsid w:val="002C49F0"/>
    <w:rsid w:val="002C4A05"/>
    <w:rsid w:val="002C4EFE"/>
    <w:rsid w:val="002C5468"/>
    <w:rsid w:val="002C55E8"/>
    <w:rsid w:val="002C577B"/>
    <w:rsid w:val="002C5D67"/>
    <w:rsid w:val="002C6377"/>
    <w:rsid w:val="002C70FA"/>
    <w:rsid w:val="002C7454"/>
    <w:rsid w:val="002C7E49"/>
    <w:rsid w:val="002D0129"/>
    <w:rsid w:val="002D169D"/>
    <w:rsid w:val="002D1EA2"/>
    <w:rsid w:val="002D202C"/>
    <w:rsid w:val="002D241A"/>
    <w:rsid w:val="002D25AA"/>
    <w:rsid w:val="002D2CA4"/>
    <w:rsid w:val="002D2F2E"/>
    <w:rsid w:val="002D31AD"/>
    <w:rsid w:val="002D33D5"/>
    <w:rsid w:val="002D3E5F"/>
    <w:rsid w:val="002D44B7"/>
    <w:rsid w:val="002D4523"/>
    <w:rsid w:val="002D56D6"/>
    <w:rsid w:val="002D591C"/>
    <w:rsid w:val="002D5EE0"/>
    <w:rsid w:val="002D6962"/>
    <w:rsid w:val="002D6B5F"/>
    <w:rsid w:val="002E039C"/>
    <w:rsid w:val="002E1542"/>
    <w:rsid w:val="002E194D"/>
    <w:rsid w:val="002E1DC6"/>
    <w:rsid w:val="002E236F"/>
    <w:rsid w:val="002E248E"/>
    <w:rsid w:val="002E2C6D"/>
    <w:rsid w:val="002E4476"/>
    <w:rsid w:val="002E55C7"/>
    <w:rsid w:val="002E5DED"/>
    <w:rsid w:val="002F003E"/>
    <w:rsid w:val="002F004E"/>
    <w:rsid w:val="002F08C1"/>
    <w:rsid w:val="002F09F3"/>
    <w:rsid w:val="002F14DA"/>
    <w:rsid w:val="002F215E"/>
    <w:rsid w:val="002F27F8"/>
    <w:rsid w:val="002F2EFF"/>
    <w:rsid w:val="002F2F49"/>
    <w:rsid w:val="002F342B"/>
    <w:rsid w:val="002F37BF"/>
    <w:rsid w:val="002F394B"/>
    <w:rsid w:val="002F60A7"/>
    <w:rsid w:val="002F6B54"/>
    <w:rsid w:val="002F791A"/>
    <w:rsid w:val="002F7D95"/>
    <w:rsid w:val="003010DB"/>
    <w:rsid w:val="0030114D"/>
    <w:rsid w:val="003023CD"/>
    <w:rsid w:val="003025D7"/>
    <w:rsid w:val="00302810"/>
    <w:rsid w:val="003037E3"/>
    <w:rsid w:val="00306207"/>
    <w:rsid w:val="00306230"/>
    <w:rsid w:val="00307FF1"/>
    <w:rsid w:val="003101A6"/>
    <w:rsid w:val="0031056A"/>
    <w:rsid w:val="00310B44"/>
    <w:rsid w:val="00311826"/>
    <w:rsid w:val="003121F4"/>
    <w:rsid w:val="0031274A"/>
    <w:rsid w:val="00312AED"/>
    <w:rsid w:val="003130CB"/>
    <w:rsid w:val="003145D4"/>
    <w:rsid w:val="0031504D"/>
    <w:rsid w:val="003159B5"/>
    <w:rsid w:val="00315EA5"/>
    <w:rsid w:val="00316BE3"/>
    <w:rsid w:val="0032307E"/>
    <w:rsid w:val="003237E0"/>
    <w:rsid w:val="00325D8D"/>
    <w:rsid w:val="00325FC5"/>
    <w:rsid w:val="00326943"/>
    <w:rsid w:val="003270C1"/>
    <w:rsid w:val="003276FE"/>
    <w:rsid w:val="003311EB"/>
    <w:rsid w:val="00331328"/>
    <w:rsid w:val="003325F6"/>
    <w:rsid w:val="00332746"/>
    <w:rsid w:val="0033375E"/>
    <w:rsid w:val="003347DB"/>
    <w:rsid w:val="003351FE"/>
    <w:rsid w:val="003357F2"/>
    <w:rsid w:val="00335E33"/>
    <w:rsid w:val="0033763D"/>
    <w:rsid w:val="00337F1A"/>
    <w:rsid w:val="00340141"/>
    <w:rsid w:val="003406FF"/>
    <w:rsid w:val="00340872"/>
    <w:rsid w:val="00340B70"/>
    <w:rsid w:val="00340D34"/>
    <w:rsid w:val="00340EA9"/>
    <w:rsid w:val="00340EBE"/>
    <w:rsid w:val="003413E5"/>
    <w:rsid w:val="00342D65"/>
    <w:rsid w:val="0034376F"/>
    <w:rsid w:val="003439FE"/>
    <w:rsid w:val="00343A4B"/>
    <w:rsid w:val="003446D2"/>
    <w:rsid w:val="00345128"/>
    <w:rsid w:val="00345789"/>
    <w:rsid w:val="00345D79"/>
    <w:rsid w:val="00345DAF"/>
    <w:rsid w:val="0034608A"/>
    <w:rsid w:val="003461EB"/>
    <w:rsid w:val="00346254"/>
    <w:rsid w:val="00346420"/>
    <w:rsid w:val="00346475"/>
    <w:rsid w:val="00346A55"/>
    <w:rsid w:val="00347DF0"/>
    <w:rsid w:val="00350CE4"/>
    <w:rsid w:val="00351621"/>
    <w:rsid w:val="0035171C"/>
    <w:rsid w:val="0035185E"/>
    <w:rsid w:val="0035240D"/>
    <w:rsid w:val="00352C0C"/>
    <w:rsid w:val="00352F11"/>
    <w:rsid w:val="00352F27"/>
    <w:rsid w:val="003536C5"/>
    <w:rsid w:val="00354837"/>
    <w:rsid w:val="00354AAD"/>
    <w:rsid w:val="003550FC"/>
    <w:rsid w:val="00355721"/>
    <w:rsid w:val="003560F7"/>
    <w:rsid w:val="00356E82"/>
    <w:rsid w:val="0035787B"/>
    <w:rsid w:val="00357B34"/>
    <w:rsid w:val="00357EEE"/>
    <w:rsid w:val="0036065C"/>
    <w:rsid w:val="0036084D"/>
    <w:rsid w:val="003608C9"/>
    <w:rsid w:val="00360A4A"/>
    <w:rsid w:val="0036105C"/>
    <w:rsid w:val="00361EEF"/>
    <w:rsid w:val="0036370C"/>
    <w:rsid w:val="0036411E"/>
    <w:rsid w:val="00364C3A"/>
    <w:rsid w:val="00364F63"/>
    <w:rsid w:val="00365557"/>
    <w:rsid w:val="003662BC"/>
    <w:rsid w:val="00366BB0"/>
    <w:rsid w:val="003675D2"/>
    <w:rsid w:val="003678B1"/>
    <w:rsid w:val="00367956"/>
    <w:rsid w:val="003706CA"/>
    <w:rsid w:val="00370F7F"/>
    <w:rsid w:val="003710A5"/>
    <w:rsid w:val="003714B3"/>
    <w:rsid w:val="003717C4"/>
    <w:rsid w:val="00371CA8"/>
    <w:rsid w:val="00372212"/>
    <w:rsid w:val="003727C3"/>
    <w:rsid w:val="00372AB8"/>
    <w:rsid w:val="00372C7A"/>
    <w:rsid w:val="003739E1"/>
    <w:rsid w:val="00373EF5"/>
    <w:rsid w:val="003740D7"/>
    <w:rsid w:val="00374240"/>
    <w:rsid w:val="0037461D"/>
    <w:rsid w:val="00374ED8"/>
    <w:rsid w:val="0037626D"/>
    <w:rsid w:val="00376BBE"/>
    <w:rsid w:val="00376CEB"/>
    <w:rsid w:val="00380633"/>
    <w:rsid w:val="0038408A"/>
    <w:rsid w:val="003844AD"/>
    <w:rsid w:val="00384776"/>
    <w:rsid w:val="0038479E"/>
    <w:rsid w:val="00384FDD"/>
    <w:rsid w:val="00385400"/>
    <w:rsid w:val="003856BD"/>
    <w:rsid w:val="003866FA"/>
    <w:rsid w:val="003873CA"/>
    <w:rsid w:val="00387773"/>
    <w:rsid w:val="00387DC0"/>
    <w:rsid w:val="00390BE3"/>
    <w:rsid w:val="003921BF"/>
    <w:rsid w:val="003937FA"/>
    <w:rsid w:val="00393B2E"/>
    <w:rsid w:val="00394510"/>
    <w:rsid w:val="00395B3C"/>
    <w:rsid w:val="00397315"/>
    <w:rsid w:val="003974F8"/>
    <w:rsid w:val="00397558"/>
    <w:rsid w:val="00397BD0"/>
    <w:rsid w:val="00397C39"/>
    <w:rsid w:val="003A1151"/>
    <w:rsid w:val="003A1832"/>
    <w:rsid w:val="003A2914"/>
    <w:rsid w:val="003A31F8"/>
    <w:rsid w:val="003A3C6B"/>
    <w:rsid w:val="003A499D"/>
    <w:rsid w:val="003A4F69"/>
    <w:rsid w:val="003A52A7"/>
    <w:rsid w:val="003A615F"/>
    <w:rsid w:val="003A6AD1"/>
    <w:rsid w:val="003A6D52"/>
    <w:rsid w:val="003A7213"/>
    <w:rsid w:val="003B2145"/>
    <w:rsid w:val="003B24BA"/>
    <w:rsid w:val="003B2FE3"/>
    <w:rsid w:val="003B33C3"/>
    <w:rsid w:val="003B34F0"/>
    <w:rsid w:val="003B499F"/>
    <w:rsid w:val="003B4C56"/>
    <w:rsid w:val="003B6027"/>
    <w:rsid w:val="003B70BF"/>
    <w:rsid w:val="003B7154"/>
    <w:rsid w:val="003B7389"/>
    <w:rsid w:val="003B7577"/>
    <w:rsid w:val="003B7B89"/>
    <w:rsid w:val="003B7EAD"/>
    <w:rsid w:val="003C0300"/>
    <w:rsid w:val="003C09D1"/>
    <w:rsid w:val="003C1474"/>
    <w:rsid w:val="003C2244"/>
    <w:rsid w:val="003C22D7"/>
    <w:rsid w:val="003C2794"/>
    <w:rsid w:val="003C2841"/>
    <w:rsid w:val="003C316D"/>
    <w:rsid w:val="003C3C18"/>
    <w:rsid w:val="003C3DAB"/>
    <w:rsid w:val="003C4B07"/>
    <w:rsid w:val="003C4BF8"/>
    <w:rsid w:val="003C55AB"/>
    <w:rsid w:val="003C560B"/>
    <w:rsid w:val="003C5763"/>
    <w:rsid w:val="003C5EE9"/>
    <w:rsid w:val="003C73C3"/>
    <w:rsid w:val="003C79D0"/>
    <w:rsid w:val="003D0A23"/>
    <w:rsid w:val="003D0B4B"/>
    <w:rsid w:val="003D1B59"/>
    <w:rsid w:val="003D23F6"/>
    <w:rsid w:val="003D26A6"/>
    <w:rsid w:val="003D3597"/>
    <w:rsid w:val="003D4E04"/>
    <w:rsid w:val="003D58DC"/>
    <w:rsid w:val="003D5E10"/>
    <w:rsid w:val="003D607F"/>
    <w:rsid w:val="003D62F5"/>
    <w:rsid w:val="003D6876"/>
    <w:rsid w:val="003D6D93"/>
    <w:rsid w:val="003D726D"/>
    <w:rsid w:val="003D771D"/>
    <w:rsid w:val="003E0F94"/>
    <w:rsid w:val="003E243F"/>
    <w:rsid w:val="003E26DD"/>
    <w:rsid w:val="003E3924"/>
    <w:rsid w:val="003E3A14"/>
    <w:rsid w:val="003E3D34"/>
    <w:rsid w:val="003E417C"/>
    <w:rsid w:val="003E506C"/>
    <w:rsid w:val="003E50A0"/>
    <w:rsid w:val="003E66D5"/>
    <w:rsid w:val="003E67D7"/>
    <w:rsid w:val="003E6A18"/>
    <w:rsid w:val="003E6C8D"/>
    <w:rsid w:val="003E6F66"/>
    <w:rsid w:val="003E712F"/>
    <w:rsid w:val="003E7AB6"/>
    <w:rsid w:val="003F0391"/>
    <w:rsid w:val="003F10AA"/>
    <w:rsid w:val="003F14B8"/>
    <w:rsid w:val="003F1908"/>
    <w:rsid w:val="003F26A0"/>
    <w:rsid w:val="003F2AE5"/>
    <w:rsid w:val="003F2BA9"/>
    <w:rsid w:val="003F34DE"/>
    <w:rsid w:val="003F3545"/>
    <w:rsid w:val="003F4FE4"/>
    <w:rsid w:val="003F5037"/>
    <w:rsid w:val="003F592F"/>
    <w:rsid w:val="003F59C0"/>
    <w:rsid w:val="003F5E32"/>
    <w:rsid w:val="003F63DA"/>
    <w:rsid w:val="003F65C2"/>
    <w:rsid w:val="003F6A5B"/>
    <w:rsid w:val="003F6AD7"/>
    <w:rsid w:val="003F7745"/>
    <w:rsid w:val="003F78CD"/>
    <w:rsid w:val="0040142A"/>
    <w:rsid w:val="004021EF"/>
    <w:rsid w:val="004026F6"/>
    <w:rsid w:val="00402796"/>
    <w:rsid w:val="0040285D"/>
    <w:rsid w:val="0040296E"/>
    <w:rsid w:val="00404364"/>
    <w:rsid w:val="00404A86"/>
    <w:rsid w:val="00405052"/>
    <w:rsid w:val="004057D4"/>
    <w:rsid w:val="00405929"/>
    <w:rsid w:val="00406AE3"/>
    <w:rsid w:val="00406CCE"/>
    <w:rsid w:val="00406E7F"/>
    <w:rsid w:val="00406EF3"/>
    <w:rsid w:val="004072B0"/>
    <w:rsid w:val="00407BAE"/>
    <w:rsid w:val="00407F65"/>
    <w:rsid w:val="00410420"/>
    <w:rsid w:val="00410510"/>
    <w:rsid w:val="00411391"/>
    <w:rsid w:val="0041162B"/>
    <w:rsid w:val="00411B77"/>
    <w:rsid w:val="00412016"/>
    <w:rsid w:val="004143AF"/>
    <w:rsid w:val="00414D2C"/>
    <w:rsid w:val="00414F3B"/>
    <w:rsid w:val="004154E4"/>
    <w:rsid w:val="00415B9C"/>
    <w:rsid w:val="004171E6"/>
    <w:rsid w:val="00417662"/>
    <w:rsid w:val="00417E6E"/>
    <w:rsid w:val="004202CA"/>
    <w:rsid w:val="004208E3"/>
    <w:rsid w:val="004209FF"/>
    <w:rsid w:val="00421034"/>
    <w:rsid w:val="004213F7"/>
    <w:rsid w:val="00421F96"/>
    <w:rsid w:val="00422126"/>
    <w:rsid w:val="00422353"/>
    <w:rsid w:val="00423520"/>
    <w:rsid w:val="00423996"/>
    <w:rsid w:val="004243FB"/>
    <w:rsid w:val="0042462D"/>
    <w:rsid w:val="00424678"/>
    <w:rsid w:val="00424936"/>
    <w:rsid w:val="00425680"/>
    <w:rsid w:val="00426125"/>
    <w:rsid w:val="00426D03"/>
    <w:rsid w:val="00426E1B"/>
    <w:rsid w:val="004270B8"/>
    <w:rsid w:val="00431334"/>
    <w:rsid w:val="004316D2"/>
    <w:rsid w:val="004318BA"/>
    <w:rsid w:val="004325FD"/>
    <w:rsid w:val="00432ED9"/>
    <w:rsid w:val="00433813"/>
    <w:rsid w:val="00433FAE"/>
    <w:rsid w:val="004341D9"/>
    <w:rsid w:val="004344E2"/>
    <w:rsid w:val="00434A55"/>
    <w:rsid w:val="004357E8"/>
    <w:rsid w:val="004361F1"/>
    <w:rsid w:val="00437C55"/>
    <w:rsid w:val="00440A24"/>
    <w:rsid w:val="00440BAB"/>
    <w:rsid w:val="00440C1C"/>
    <w:rsid w:val="00440C2A"/>
    <w:rsid w:val="00441006"/>
    <w:rsid w:val="00442315"/>
    <w:rsid w:val="004425EA"/>
    <w:rsid w:val="00443CF1"/>
    <w:rsid w:val="004443C4"/>
    <w:rsid w:val="004445CD"/>
    <w:rsid w:val="00444A7C"/>
    <w:rsid w:val="00444B33"/>
    <w:rsid w:val="0044633E"/>
    <w:rsid w:val="00446E24"/>
    <w:rsid w:val="00447093"/>
    <w:rsid w:val="0044733A"/>
    <w:rsid w:val="00447627"/>
    <w:rsid w:val="00447681"/>
    <w:rsid w:val="00447B03"/>
    <w:rsid w:val="004511C0"/>
    <w:rsid w:val="004514FC"/>
    <w:rsid w:val="004526D9"/>
    <w:rsid w:val="00453A8B"/>
    <w:rsid w:val="00453F78"/>
    <w:rsid w:val="00454066"/>
    <w:rsid w:val="004543B7"/>
    <w:rsid w:val="0045472C"/>
    <w:rsid w:val="00455056"/>
    <w:rsid w:val="004552F5"/>
    <w:rsid w:val="00455309"/>
    <w:rsid w:val="004561E8"/>
    <w:rsid w:val="00456387"/>
    <w:rsid w:val="00456425"/>
    <w:rsid w:val="0045675E"/>
    <w:rsid w:val="004567B2"/>
    <w:rsid w:val="00456A11"/>
    <w:rsid w:val="00456D16"/>
    <w:rsid w:val="00460329"/>
    <w:rsid w:val="00461A74"/>
    <w:rsid w:val="004624DA"/>
    <w:rsid w:val="00463CCE"/>
    <w:rsid w:val="004642DA"/>
    <w:rsid w:val="0046498A"/>
    <w:rsid w:val="00464CF1"/>
    <w:rsid w:val="004661E8"/>
    <w:rsid w:val="00466223"/>
    <w:rsid w:val="00466E9B"/>
    <w:rsid w:val="004674AF"/>
    <w:rsid w:val="00467A02"/>
    <w:rsid w:val="00467D71"/>
    <w:rsid w:val="00470308"/>
    <w:rsid w:val="00471095"/>
    <w:rsid w:val="004715CF"/>
    <w:rsid w:val="00471849"/>
    <w:rsid w:val="00471D2F"/>
    <w:rsid w:val="00471F95"/>
    <w:rsid w:val="00472584"/>
    <w:rsid w:val="0047351C"/>
    <w:rsid w:val="00473DD4"/>
    <w:rsid w:val="00474314"/>
    <w:rsid w:val="00474584"/>
    <w:rsid w:val="00476ADB"/>
    <w:rsid w:val="00476E30"/>
    <w:rsid w:val="00477F74"/>
    <w:rsid w:val="00480495"/>
    <w:rsid w:val="00480674"/>
    <w:rsid w:val="00480B71"/>
    <w:rsid w:val="00481146"/>
    <w:rsid w:val="004817FE"/>
    <w:rsid w:val="00482A16"/>
    <w:rsid w:val="00483720"/>
    <w:rsid w:val="00483A16"/>
    <w:rsid w:val="00483DBA"/>
    <w:rsid w:val="004843C9"/>
    <w:rsid w:val="0048477C"/>
    <w:rsid w:val="00484F13"/>
    <w:rsid w:val="00485BCE"/>
    <w:rsid w:val="00485BF3"/>
    <w:rsid w:val="00485C6F"/>
    <w:rsid w:val="00486180"/>
    <w:rsid w:val="004862A7"/>
    <w:rsid w:val="004862EA"/>
    <w:rsid w:val="00486EDA"/>
    <w:rsid w:val="00487549"/>
    <w:rsid w:val="004877DD"/>
    <w:rsid w:val="0048784C"/>
    <w:rsid w:val="00490468"/>
    <w:rsid w:val="00490E4E"/>
    <w:rsid w:val="00491D21"/>
    <w:rsid w:val="00492309"/>
    <w:rsid w:val="00492684"/>
    <w:rsid w:val="0049296A"/>
    <w:rsid w:val="0049763B"/>
    <w:rsid w:val="00497856"/>
    <w:rsid w:val="00497A1F"/>
    <w:rsid w:val="004A1681"/>
    <w:rsid w:val="004A19BD"/>
    <w:rsid w:val="004A1D59"/>
    <w:rsid w:val="004A207B"/>
    <w:rsid w:val="004A2D19"/>
    <w:rsid w:val="004A3076"/>
    <w:rsid w:val="004A3514"/>
    <w:rsid w:val="004A3E81"/>
    <w:rsid w:val="004A5D0D"/>
    <w:rsid w:val="004A64FD"/>
    <w:rsid w:val="004A6C7F"/>
    <w:rsid w:val="004A766B"/>
    <w:rsid w:val="004A7E8E"/>
    <w:rsid w:val="004B05E7"/>
    <w:rsid w:val="004B11BA"/>
    <w:rsid w:val="004B14B5"/>
    <w:rsid w:val="004B1645"/>
    <w:rsid w:val="004B16DF"/>
    <w:rsid w:val="004B1AD2"/>
    <w:rsid w:val="004B201C"/>
    <w:rsid w:val="004B3775"/>
    <w:rsid w:val="004B3F35"/>
    <w:rsid w:val="004B3FDD"/>
    <w:rsid w:val="004B47F2"/>
    <w:rsid w:val="004B4AB3"/>
    <w:rsid w:val="004B4F01"/>
    <w:rsid w:val="004B5714"/>
    <w:rsid w:val="004B6C42"/>
    <w:rsid w:val="004B6D16"/>
    <w:rsid w:val="004C0184"/>
    <w:rsid w:val="004C0D36"/>
    <w:rsid w:val="004C1245"/>
    <w:rsid w:val="004C2758"/>
    <w:rsid w:val="004C3AA4"/>
    <w:rsid w:val="004C3C1A"/>
    <w:rsid w:val="004C3F76"/>
    <w:rsid w:val="004C41EA"/>
    <w:rsid w:val="004C4278"/>
    <w:rsid w:val="004C5040"/>
    <w:rsid w:val="004C5511"/>
    <w:rsid w:val="004C5D39"/>
    <w:rsid w:val="004C7473"/>
    <w:rsid w:val="004C7BA5"/>
    <w:rsid w:val="004D0DD9"/>
    <w:rsid w:val="004D177D"/>
    <w:rsid w:val="004D1961"/>
    <w:rsid w:val="004D1D7B"/>
    <w:rsid w:val="004D27BD"/>
    <w:rsid w:val="004D298E"/>
    <w:rsid w:val="004D29BA"/>
    <w:rsid w:val="004D347D"/>
    <w:rsid w:val="004D3B40"/>
    <w:rsid w:val="004D3DB6"/>
    <w:rsid w:val="004D4A9D"/>
    <w:rsid w:val="004D5960"/>
    <w:rsid w:val="004D5D77"/>
    <w:rsid w:val="004D5EFF"/>
    <w:rsid w:val="004D60FA"/>
    <w:rsid w:val="004D6C98"/>
    <w:rsid w:val="004D6E61"/>
    <w:rsid w:val="004D70A3"/>
    <w:rsid w:val="004D75DA"/>
    <w:rsid w:val="004D7FC6"/>
    <w:rsid w:val="004E0DCE"/>
    <w:rsid w:val="004E300D"/>
    <w:rsid w:val="004E4EF7"/>
    <w:rsid w:val="004E54DE"/>
    <w:rsid w:val="004E72A5"/>
    <w:rsid w:val="004E79BA"/>
    <w:rsid w:val="004E7F2A"/>
    <w:rsid w:val="004F02A6"/>
    <w:rsid w:val="004F0973"/>
    <w:rsid w:val="004F0EEA"/>
    <w:rsid w:val="004F10F0"/>
    <w:rsid w:val="004F1CE8"/>
    <w:rsid w:val="004F2DB2"/>
    <w:rsid w:val="004F2F14"/>
    <w:rsid w:val="004F3218"/>
    <w:rsid w:val="004F3579"/>
    <w:rsid w:val="004F40B9"/>
    <w:rsid w:val="004F4216"/>
    <w:rsid w:val="004F451B"/>
    <w:rsid w:val="004F4C0A"/>
    <w:rsid w:val="004F4C57"/>
    <w:rsid w:val="004F5141"/>
    <w:rsid w:val="004F54E2"/>
    <w:rsid w:val="004F5759"/>
    <w:rsid w:val="004F57B9"/>
    <w:rsid w:val="004F721F"/>
    <w:rsid w:val="004F7C89"/>
    <w:rsid w:val="00500100"/>
    <w:rsid w:val="005001A9"/>
    <w:rsid w:val="005024A7"/>
    <w:rsid w:val="00504646"/>
    <w:rsid w:val="00504A2B"/>
    <w:rsid w:val="00504D45"/>
    <w:rsid w:val="005051EE"/>
    <w:rsid w:val="0050526B"/>
    <w:rsid w:val="00507172"/>
    <w:rsid w:val="00507659"/>
    <w:rsid w:val="00507E7D"/>
    <w:rsid w:val="0051056A"/>
    <w:rsid w:val="005108CF"/>
    <w:rsid w:val="005120B2"/>
    <w:rsid w:val="00513236"/>
    <w:rsid w:val="005134B6"/>
    <w:rsid w:val="00513AEC"/>
    <w:rsid w:val="0051423C"/>
    <w:rsid w:val="00514E98"/>
    <w:rsid w:val="00515282"/>
    <w:rsid w:val="005154F6"/>
    <w:rsid w:val="00515AA2"/>
    <w:rsid w:val="00516017"/>
    <w:rsid w:val="005164AD"/>
    <w:rsid w:val="00520B0D"/>
    <w:rsid w:val="00520ED8"/>
    <w:rsid w:val="00521A80"/>
    <w:rsid w:val="00523319"/>
    <w:rsid w:val="005235ED"/>
    <w:rsid w:val="00523612"/>
    <w:rsid w:val="005249D0"/>
    <w:rsid w:val="00527269"/>
    <w:rsid w:val="00527CB1"/>
    <w:rsid w:val="00527F09"/>
    <w:rsid w:val="0053221B"/>
    <w:rsid w:val="005322A6"/>
    <w:rsid w:val="0053262C"/>
    <w:rsid w:val="00533214"/>
    <w:rsid w:val="0053356D"/>
    <w:rsid w:val="005348C8"/>
    <w:rsid w:val="00534CF6"/>
    <w:rsid w:val="00534D8E"/>
    <w:rsid w:val="00535547"/>
    <w:rsid w:val="00537CF6"/>
    <w:rsid w:val="005403FB"/>
    <w:rsid w:val="00540457"/>
    <w:rsid w:val="0054065A"/>
    <w:rsid w:val="00540919"/>
    <w:rsid w:val="00542454"/>
    <w:rsid w:val="00542C2C"/>
    <w:rsid w:val="00542C48"/>
    <w:rsid w:val="00542EF1"/>
    <w:rsid w:val="005430C4"/>
    <w:rsid w:val="0054332C"/>
    <w:rsid w:val="00543AB7"/>
    <w:rsid w:val="005443B7"/>
    <w:rsid w:val="00544EF0"/>
    <w:rsid w:val="00545E1C"/>
    <w:rsid w:val="00546864"/>
    <w:rsid w:val="00546EA0"/>
    <w:rsid w:val="00547E6D"/>
    <w:rsid w:val="005515CC"/>
    <w:rsid w:val="00551844"/>
    <w:rsid w:val="005518A6"/>
    <w:rsid w:val="005518BD"/>
    <w:rsid w:val="005526B2"/>
    <w:rsid w:val="0055332A"/>
    <w:rsid w:val="0055395C"/>
    <w:rsid w:val="00553D4B"/>
    <w:rsid w:val="0055413B"/>
    <w:rsid w:val="00554EF0"/>
    <w:rsid w:val="00555009"/>
    <w:rsid w:val="00555A59"/>
    <w:rsid w:val="00555EFB"/>
    <w:rsid w:val="00556206"/>
    <w:rsid w:val="005562F8"/>
    <w:rsid w:val="00556504"/>
    <w:rsid w:val="00557956"/>
    <w:rsid w:val="00560302"/>
    <w:rsid w:val="00562613"/>
    <w:rsid w:val="005626CC"/>
    <w:rsid w:val="00562D56"/>
    <w:rsid w:val="005637C7"/>
    <w:rsid w:val="00563B8E"/>
    <w:rsid w:val="00564458"/>
    <w:rsid w:val="00564A23"/>
    <w:rsid w:val="00566290"/>
    <w:rsid w:val="005667E7"/>
    <w:rsid w:val="00566825"/>
    <w:rsid w:val="00567397"/>
    <w:rsid w:val="005674D9"/>
    <w:rsid w:val="005674E8"/>
    <w:rsid w:val="00567722"/>
    <w:rsid w:val="0056793E"/>
    <w:rsid w:val="00567D1F"/>
    <w:rsid w:val="00567E2F"/>
    <w:rsid w:val="0057082C"/>
    <w:rsid w:val="00570F07"/>
    <w:rsid w:val="005710DA"/>
    <w:rsid w:val="005714E7"/>
    <w:rsid w:val="00571B5F"/>
    <w:rsid w:val="00572FD3"/>
    <w:rsid w:val="00573FB0"/>
    <w:rsid w:val="00574160"/>
    <w:rsid w:val="0057431A"/>
    <w:rsid w:val="00574ABE"/>
    <w:rsid w:val="00576629"/>
    <w:rsid w:val="0057676E"/>
    <w:rsid w:val="00576817"/>
    <w:rsid w:val="0057702B"/>
    <w:rsid w:val="005774B1"/>
    <w:rsid w:val="00580255"/>
    <w:rsid w:val="00580A03"/>
    <w:rsid w:val="00581581"/>
    <w:rsid w:val="00581B33"/>
    <w:rsid w:val="00581CDF"/>
    <w:rsid w:val="00581D31"/>
    <w:rsid w:val="00581E68"/>
    <w:rsid w:val="00582379"/>
    <w:rsid w:val="005829B7"/>
    <w:rsid w:val="005832C7"/>
    <w:rsid w:val="00584236"/>
    <w:rsid w:val="00585810"/>
    <w:rsid w:val="00585A6F"/>
    <w:rsid w:val="00585E22"/>
    <w:rsid w:val="00585EF3"/>
    <w:rsid w:val="00585F40"/>
    <w:rsid w:val="0058622C"/>
    <w:rsid w:val="00586622"/>
    <w:rsid w:val="0058712F"/>
    <w:rsid w:val="0058745E"/>
    <w:rsid w:val="005875ED"/>
    <w:rsid w:val="00587C80"/>
    <w:rsid w:val="00591ADF"/>
    <w:rsid w:val="00591B69"/>
    <w:rsid w:val="0059279A"/>
    <w:rsid w:val="00592F03"/>
    <w:rsid w:val="005934BC"/>
    <w:rsid w:val="0059365F"/>
    <w:rsid w:val="00593FCA"/>
    <w:rsid w:val="00594196"/>
    <w:rsid w:val="00595E13"/>
    <w:rsid w:val="005967AA"/>
    <w:rsid w:val="005969A9"/>
    <w:rsid w:val="00596F3D"/>
    <w:rsid w:val="00597582"/>
    <w:rsid w:val="00597787"/>
    <w:rsid w:val="005A01F4"/>
    <w:rsid w:val="005A1EEC"/>
    <w:rsid w:val="005A2490"/>
    <w:rsid w:val="005A2986"/>
    <w:rsid w:val="005A2CC2"/>
    <w:rsid w:val="005A4791"/>
    <w:rsid w:val="005A5047"/>
    <w:rsid w:val="005A55DC"/>
    <w:rsid w:val="005A5EAF"/>
    <w:rsid w:val="005A6561"/>
    <w:rsid w:val="005A662E"/>
    <w:rsid w:val="005A67D4"/>
    <w:rsid w:val="005A6AC4"/>
    <w:rsid w:val="005A6E86"/>
    <w:rsid w:val="005B0F76"/>
    <w:rsid w:val="005B1450"/>
    <w:rsid w:val="005B14EA"/>
    <w:rsid w:val="005B1E6E"/>
    <w:rsid w:val="005B286C"/>
    <w:rsid w:val="005B2D72"/>
    <w:rsid w:val="005B47FB"/>
    <w:rsid w:val="005B53D2"/>
    <w:rsid w:val="005B6A4E"/>
    <w:rsid w:val="005B6CCD"/>
    <w:rsid w:val="005B6CD2"/>
    <w:rsid w:val="005B7132"/>
    <w:rsid w:val="005B763C"/>
    <w:rsid w:val="005B7766"/>
    <w:rsid w:val="005B7C27"/>
    <w:rsid w:val="005C0285"/>
    <w:rsid w:val="005C10C1"/>
    <w:rsid w:val="005C29A9"/>
    <w:rsid w:val="005C308C"/>
    <w:rsid w:val="005C329B"/>
    <w:rsid w:val="005C34F1"/>
    <w:rsid w:val="005C41CA"/>
    <w:rsid w:val="005C420A"/>
    <w:rsid w:val="005C506D"/>
    <w:rsid w:val="005C5B11"/>
    <w:rsid w:val="005C7995"/>
    <w:rsid w:val="005C7EDF"/>
    <w:rsid w:val="005D0163"/>
    <w:rsid w:val="005D03D9"/>
    <w:rsid w:val="005D0F5F"/>
    <w:rsid w:val="005D1417"/>
    <w:rsid w:val="005D237C"/>
    <w:rsid w:val="005D363D"/>
    <w:rsid w:val="005D3D40"/>
    <w:rsid w:val="005D3D79"/>
    <w:rsid w:val="005D444B"/>
    <w:rsid w:val="005D44C4"/>
    <w:rsid w:val="005D4503"/>
    <w:rsid w:val="005D49BF"/>
    <w:rsid w:val="005D5417"/>
    <w:rsid w:val="005D6702"/>
    <w:rsid w:val="005D6BF9"/>
    <w:rsid w:val="005D6D9D"/>
    <w:rsid w:val="005D7D02"/>
    <w:rsid w:val="005E01C0"/>
    <w:rsid w:val="005E01E9"/>
    <w:rsid w:val="005E1260"/>
    <w:rsid w:val="005E13B6"/>
    <w:rsid w:val="005E20EA"/>
    <w:rsid w:val="005E2847"/>
    <w:rsid w:val="005E2C42"/>
    <w:rsid w:val="005E2E59"/>
    <w:rsid w:val="005E2EF9"/>
    <w:rsid w:val="005E3AAF"/>
    <w:rsid w:val="005E3E3D"/>
    <w:rsid w:val="005E4642"/>
    <w:rsid w:val="005E51AE"/>
    <w:rsid w:val="005E6B00"/>
    <w:rsid w:val="005E7117"/>
    <w:rsid w:val="005E77FA"/>
    <w:rsid w:val="005F1F9C"/>
    <w:rsid w:val="005F2650"/>
    <w:rsid w:val="005F35DE"/>
    <w:rsid w:val="005F478B"/>
    <w:rsid w:val="005F56F5"/>
    <w:rsid w:val="005F5C9E"/>
    <w:rsid w:val="005F6291"/>
    <w:rsid w:val="005F65B5"/>
    <w:rsid w:val="005F6969"/>
    <w:rsid w:val="005F7EC5"/>
    <w:rsid w:val="00600815"/>
    <w:rsid w:val="00601B7D"/>
    <w:rsid w:val="00601C27"/>
    <w:rsid w:val="00601E17"/>
    <w:rsid w:val="006021BF"/>
    <w:rsid w:val="00602DB8"/>
    <w:rsid w:val="00603B37"/>
    <w:rsid w:val="00603BD7"/>
    <w:rsid w:val="00604184"/>
    <w:rsid w:val="006041DB"/>
    <w:rsid w:val="00604635"/>
    <w:rsid w:val="00604A16"/>
    <w:rsid w:val="00604DBB"/>
    <w:rsid w:val="006059DC"/>
    <w:rsid w:val="00605CD7"/>
    <w:rsid w:val="0060763B"/>
    <w:rsid w:val="00610870"/>
    <w:rsid w:val="00611A4C"/>
    <w:rsid w:val="00611E69"/>
    <w:rsid w:val="006136EC"/>
    <w:rsid w:val="00613FA2"/>
    <w:rsid w:val="00615C4F"/>
    <w:rsid w:val="00616F11"/>
    <w:rsid w:val="00617676"/>
    <w:rsid w:val="006176D9"/>
    <w:rsid w:val="00617891"/>
    <w:rsid w:val="00617B39"/>
    <w:rsid w:val="00620A30"/>
    <w:rsid w:val="00620C56"/>
    <w:rsid w:val="006212B8"/>
    <w:rsid w:val="00621B66"/>
    <w:rsid w:val="00621F3C"/>
    <w:rsid w:val="00622453"/>
    <w:rsid w:val="0062396E"/>
    <w:rsid w:val="00623CC6"/>
    <w:rsid w:val="0062419D"/>
    <w:rsid w:val="00624AFE"/>
    <w:rsid w:val="00625346"/>
    <w:rsid w:val="00625B8A"/>
    <w:rsid w:val="00625C26"/>
    <w:rsid w:val="0062640D"/>
    <w:rsid w:val="006271D9"/>
    <w:rsid w:val="006274EF"/>
    <w:rsid w:val="00627B23"/>
    <w:rsid w:val="00627D01"/>
    <w:rsid w:val="00630750"/>
    <w:rsid w:val="00630A14"/>
    <w:rsid w:val="00630BA5"/>
    <w:rsid w:val="00631017"/>
    <w:rsid w:val="00631F40"/>
    <w:rsid w:val="006333BB"/>
    <w:rsid w:val="006336E8"/>
    <w:rsid w:val="00633C12"/>
    <w:rsid w:val="00635A5C"/>
    <w:rsid w:val="00636747"/>
    <w:rsid w:val="00636C4E"/>
    <w:rsid w:val="00636E1E"/>
    <w:rsid w:val="00637D2E"/>
    <w:rsid w:val="00637EF0"/>
    <w:rsid w:val="006400B2"/>
    <w:rsid w:val="00641FA4"/>
    <w:rsid w:val="0064275E"/>
    <w:rsid w:val="00642762"/>
    <w:rsid w:val="00642998"/>
    <w:rsid w:val="00643D2A"/>
    <w:rsid w:val="00643D5B"/>
    <w:rsid w:val="006450FC"/>
    <w:rsid w:val="006457E1"/>
    <w:rsid w:val="006457F9"/>
    <w:rsid w:val="00645891"/>
    <w:rsid w:val="00645A60"/>
    <w:rsid w:val="00646C58"/>
    <w:rsid w:val="00647070"/>
    <w:rsid w:val="006510A0"/>
    <w:rsid w:val="00651147"/>
    <w:rsid w:val="00651888"/>
    <w:rsid w:val="00651F6D"/>
    <w:rsid w:val="00652803"/>
    <w:rsid w:val="0065387E"/>
    <w:rsid w:val="006559B1"/>
    <w:rsid w:val="006559DE"/>
    <w:rsid w:val="006574F3"/>
    <w:rsid w:val="006605CA"/>
    <w:rsid w:val="006609CB"/>
    <w:rsid w:val="00660E03"/>
    <w:rsid w:val="00661EAD"/>
    <w:rsid w:val="00662B34"/>
    <w:rsid w:val="0066314E"/>
    <w:rsid w:val="006646DC"/>
    <w:rsid w:val="006659AA"/>
    <w:rsid w:val="00665B21"/>
    <w:rsid w:val="00665D31"/>
    <w:rsid w:val="00666ABB"/>
    <w:rsid w:val="0067004E"/>
    <w:rsid w:val="006705FF"/>
    <w:rsid w:val="00670637"/>
    <w:rsid w:val="00670C74"/>
    <w:rsid w:val="00670D31"/>
    <w:rsid w:val="00672086"/>
    <w:rsid w:val="006737E3"/>
    <w:rsid w:val="00673EDF"/>
    <w:rsid w:val="006744AD"/>
    <w:rsid w:val="00674DC8"/>
    <w:rsid w:val="00675D86"/>
    <w:rsid w:val="006761C4"/>
    <w:rsid w:val="006764BD"/>
    <w:rsid w:val="00677586"/>
    <w:rsid w:val="00677934"/>
    <w:rsid w:val="006801E8"/>
    <w:rsid w:val="00680E53"/>
    <w:rsid w:val="00681A54"/>
    <w:rsid w:val="006828EB"/>
    <w:rsid w:val="00682D57"/>
    <w:rsid w:val="00683270"/>
    <w:rsid w:val="0068386B"/>
    <w:rsid w:val="00683C22"/>
    <w:rsid w:val="00683D2C"/>
    <w:rsid w:val="00684E7F"/>
    <w:rsid w:val="0068667C"/>
    <w:rsid w:val="0068794D"/>
    <w:rsid w:val="0069012A"/>
    <w:rsid w:val="006901E5"/>
    <w:rsid w:val="00690943"/>
    <w:rsid w:val="006914DC"/>
    <w:rsid w:val="00691574"/>
    <w:rsid w:val="00691CE5"/>
    <w:rsid w:val="00691D29"/>
    <w:rsid w:val="00692D50"/>
    <w:rsid w:val="00696094"/>
    <w:rsid w:val="00697139"/>
    <w:rsid w:val="00697BBE"/>
    <w:rsid w:val="00697EB8"/>
    <w:rsid w:val="006A0548"/>
    <w:rsid w:val="006A1B78"/>
    <w:rsid w:val="006A1CC1"/>
    <w:rsid w:val="006A242A"/>
    <w:rsid w:val="006A2BBE"/>
    <w:rsid w:val="006A31C6"/>
    <w:rsid w:val="006A3547"/>
    <w:rsid w:val="006A3EA0"/>
    <w:rsid w:val="006A45AF"/>
    <w:rsid w:val="006A59E4"/>
    <w:rsid w:val="006A5BC3"/>
    <w:rsid w:val="006A677D"/>
    <w:rsid w:val="006A6804"/>
    <w:rsid w:val="006A7382"/>
    <w:rsid w:val="006A78D0"/>
    <w:rsid w:val="006A78DC"/>
    <w:rsid w:val="006A7FC5"/>
    <w:rsid w:val="006B01CE"/>
    <w:rsid w:val="006B1029"/>
    <w:rsid w:val="006B206A"/>
    <w:rsid w:val="006B23E3"/>
    <w:rsid w:val="006B3076"/>
    <w:rsid w:val="006B30DA"/>
    <w:rsid w:val="006B361C"/>
    <w:rsid w:val="006B39CC"/>
    <w:rsid w:val="006B46C8"/>
    <w:rsid w:val="006B492D"/>
    <w:rsid w:val="006B4C67"/>
    <w:rsid w:val="006B4E3A"/>
    <w:rsid w:val="006B6AB1"/>
    <w:rsid w:val="006B73ED"/>
    <w:rsid w:val="006C02FB"/>
    <w:rsid w:val="006C046E"/>
    <w:rsid w:val="006C0B6F"/>
    <w:rsid w:val="006C0DBA"/>
    <w:rsid w:val="006C1261"/>
    <w:rsid w:val="006C144E"/>
    <w:rsid w:val="006C1873"/>
    <w:rsid w:val="006C1BC1"/>
    <w:rsid w:val="006C1FC0"/>
    <w:rsid w:val="006C22BC"/>
    <w:rsid w:val="006C3EF9"/>
    <w:rsid w:val="006C3FCB"/>
    <w:rsid w:val="006C5061"/>
    <w:rsid w:val="006C5B68"/>
    <w:rsid w:val="006C5BA7"/>
    <w:rsid w:val="006C5F36"/>
    <w:rsid w:val="006C6525"/>
    <w:rsid w:val="006C6C38"/>
    <w:rsid w:val="006C6E4B"/>
    <w:rsid w:val="006C70D7"/>
    <w:rsid w:val="006C71F1"/>
    <w:rsid w:val="006C7BF3"/>
    <w:rsid w:val="006C7C70"/>
    <w:rsid w:val="006C7F9F"/>
    <w:rsid w:val="006D07A5"/>
    <w:rsid w:val="006D08C0"/>
    <w:rsid w:val="006D0D47"/>
    <w:rsid w:val="006D1A8F"/>
    <w:rsid w:val="006D2BAB"/>
    <w:rsid w:val="006D3376"/>
    <w:rsid w:val="006D3583"/>
    <w:rsid w:val="006D3910"/>
    <w:rsid w:val="006D4205"/>
    <w:rsid w:val="006D4DAE"/>
    <w:rsid w:val="006D54BD"/>
    <w:rsid w:val="006D5C04"/>
    <w:rsid w:val="006D5DF3"/>
    <w:rsid w:val="006D62DB"/>
    <w:rsid w:val="006D6317"/>
    <w:rsid w:val="006D6B18"/>
    <w:rsid w:val="006D6D7C"/>
    <w:rsid w:val="006D7884"/>
    <w:rsid w:val="006D7A97"/>
    <w:rsid w:val="006E07E8"/>
    <w:rsid w:val="006E2A10"/>
    <w:rsid w:val="006E2FE1"/>
    <w:rsid w:val="006E32A8"/>
    <w:rsid w:val="006E37B5"/>
    <w:rsid w:val="006E3D8C"/>
    <w:rsid w:val="006E4A8D"/>
    <w:rsid w:val="006E4B67"/>
    <w:rsid w:val="006E4BFC"/>
    <w:rsid w:val="006E4BFE"/>
    <w:rsid w:val="006E5577"/>
    <w:rsid w:val="006E6E14"/>
    <w:rsid w:val="006E785C"/>
    <w:rsid w:val="006E7EB9"/>
    <w:rsid w:val="006F01F7"/>
    <w:rsid w:val="006F0B5A"/>
    <w:rsid w:val="006F0DEE"/>
    <w:rsid w:val="006F24B4"/>
    <w:rsid w:val="006F2B1F"/>
    <w:rsid w:val="006F2B33"/>
    <w:rsid w:val="006F3CF2"/>
    <w:rsid w:val="006F3F48"/>
    <w:rsid w:val="006F4E11"/>
    <w:rsid w:val="006F5A6C"/>
    <w:rsid w:val="006F61C4"/>
    <w:rsid w:val="006F61E9"/>
    <w:rsid w:val="006F6280"/>
    <w:rsid w:val="006F72E1"/>
    <w:rsid w:val="00701F96"/>
    <w:rsid w:val="00702270"/>
    <w:rsid w:val="007029B8"/>
    <w:rsid w:val="007037B9"/>
    <w:rsid w:val="00703CC2"/>
    <w:rsid w:val="007040B5"/>
    <w:rsid w:val="00704119"/>
    <w:rsid w:val="00704477"/>
    <w:rsid w:val="007054A6"/>
    <w:rsid w:val="0070595B"/>
    <w:rsid w:val="00705E0B"/>
    <w:rsid w:val="007064F0"/>
    <w:rsid w:val="00710C4B"/>
    <w:rsid w:val="007111D1"/>
    <w:rsid w:val="007120D5"/>
    <w:rsid w:val="00713E51"/>
    <w:rsid w:val="00714F83"/>
    <w:rsid w:val="0071667D"/>
    <w:rsid w:val="00716937"/>
    <w:rsid w:val="00716A6B"/>
    <w:rsid w:val="0071785A"/>
    <w:rsid w:val="00717FD4"/>
    <w:rsid w:val="00720417"/>
    <w:rsid w:val="0072126C"/>
    <w:rsid w:val="00721554"/>
    <w:rsid w:val="00721672"/>
    <w:rsid w:val="007219DE"/>
    <w:rsid w:val="007226F7"/>
    <w:rsid w:val="007233E0"/>
    <w:rsid w:val="00723C38"/>
    <w:rsid w:val="00723C5A"/>
    <w:rsid w:val="0072456D"/>
    <w:rsid w:val="007251E5"/>
    <w:rsid w:val="00725530"/>
    <w:rsid w:val="00725718"/>
    <w:rsid w:val="00726F8D"/>
    <w:rsid w:val="00727312"/>
    <w:rsid w:val="00727955"/>
    <w:rsid w:val="00730836"/>
    <w:rsid w:val="00730CDC"/>
    <w:rsid w:val="00731267"/>
    <w:rsid w:val="00731322"/>
    <w:rsid w:val="007324D2"/>
    <w:rsid w:val="00732519"/>
    <w:rsid w:val="007326C4"/>
    <w:rsid w:val="0073415F"/>
    <w:rsid w:val="00734569"/>
    <w:rsid w:val="007348CD"/>
    <w:rsid w:val="00737D6C"/>
    <w:rsid w:val="007401E9"/>
    <w:rsid w:val="007413EC"/>
    <w:rsid w:val="00741CB5"/>
    <w:rsid w:val="00741E09"/>
    <w:rsid w:val="00743066"/>
    <w:rsid w:val="007439C8"/>
    <w:rsid w:val="00745594"/>
    <w:rsid w:val="00746B6E"/>
    <w:rsid w:val="007470DF"/>
    <w:rsid w:val="0074781D"/>
    <w:rsid w:val="00750E95"/>
    <w:rsid w:val="00751013"/>
    <w:rsid w:val="00751402"/>
    <w:rsid w:val="007521B7"/>
    <w:rsid w:val="00752234"/>
    <w:rsid w:val="007528C8"/>
    <w:rsid w:val="00752B0C"/>
    <w:rsid w:val="0075478E"/>
    <w:rsid w:val="00754F37"/>
    <w:rsid w:val="00754FDE"/>
    <w:rsid w:val="00756574"/>
    <w:rsid w:val="007571D7"/>
    <w:rsid w:val="007574C0"/>
    <w:rsid w:val="00760267"/>
    <w:rsid w:val="0076027A"/>
    <w:rsid w:val="00760A4F"/>
    <w:rsid w:val="00760BEC"/>
    <w:rsid w:val="007617F0"/>
    <w:rsid w:val="007618EC"/>
    <w:rsid w:val="00763352"/>
    <w:rsid w:val="0076350D"/>
    <w:rsid w:val="00764B5E"/>
    <w:rsid w:val="00765CD4"/>
    <w:rsid w:val="00766BA7"/>
    <w:rsid w:val="00767B01"/>
    <w:rsid w:val="0077017B"/>
    <w:rsid w:val="007701F5"/>
    <w:rsid w:val="00771645"/>
    <w:rsid w:val="00771C30"/>
    <w:rsid w:val="0077217C"/>
    <w:rsid w:val="0077236A"/>
    <w:rsid w:val="00773457"/>
    <w:rsid w:val="007734F9"/>
    <w:rsid w:val="007735F0"/>
    <w:rsid w:val="007740A8"/>
    <w:rsid w:val="007741C2"/>
    <w:rsid w:val="00774C11"/>
    <w:rsid w:val="00776630"/>
    <w:rsid w:val="00776903"/>
    <w:rsid w:val="00777E86"/>
    <w:rsid w:val="0078048B"/>
    <w:rsid w:val="00781179"/>
    <w:rsid w:val="00781870"/>
    <w:rsid w:val="00782102"/>
    <w:rsid w:val="00782808"/>
    <w:rsid w:val="00782815"/>
    <w:rsid w:val="00785DDF"/>
    <w:rsid w:val="00785FD1"/>
    <w:rsid w:val="00787168"/>
    <w:rsid w:val="0078724A"/>
    <w:rsid w:val="007876A9"/>
    <w:rsid w:val="007878A3"/>
    <w:rsid w:val="007906A9"/>
    <w:rsid w:val="00790EA6"/>
    <w:rsid w:val="00791C48"/>
    <w:rsid w:val="00791CE8"/>
    <w:rsid w:val="00791D2E"/>
    <w:rsid w:val="00791DE4"/>
    <w:rsid w:val="00792218"/>
    <w:rsid w:val="00792D95"/>
    <w:rsid w:val="00793168"/>
    <w:rsid w:val="00793843"/>
    <w:rsid w:val="00794280"/>
    <w:rsid w:val="00794438"/>
    <w:rsid w:val="0079502B"/>
    <w:rsid w:val="00795443"/>
    <w:rsid w:val="0079590E"/>
    <w:rsid w:val="007963B2"/>
    <w:rsid w:val="0079654E"/>
    <w:rsid w:val="00797892"/>
    <w:rsid w:val="00797A0C"/>
    <w:rsid w:val="007A1785"/>
    <w:rsid w:val="007A1A68"/>
    <w:rsid w:val="007A1C7A"/>
    <w:rsid w:val="007A2258"/>
    <w:rsid w:val="007A33DB"/>
    <w:rsid w:val="007A36DB"/>
    <w:rsid w:val="007A37F5"/>
    <w:rsid w:val="007A5211"/>
    <w:rsid w:val="007A6827"/>
    <w:rsid w:val="007A6A2F"/>
    <w:rsid w:val="007A6DAF"/>
    <w:rsid w:val="007B02A2"/>
    <w:rsid w:val="007B0366"/>
    <w:rsid w:val="007B0E6E"/>
    <w:rsid w:val="007B1779"/>
    <w:rsid w:val="007B1D6C"/>
    <w:rsid w:val="007B25CA"/>
    <w:rsid w:val="007B2E6E"/>
    <w:rsid w:val="007B4B9B"/>
    <w:rsid w:val="007B4C66"/>
    <w:rsid w:val="007B5254"/>
    <w:rsid w:val="007B5363"/>
    <w:rsid w:val="007B5364"/>
    <w:rsid w:val="007B564D"/>
    <w:rsid w:val="007B6DD7"/>
    <w:rsid w:val="007B78DD"/>
    <w:rsid w:val="007B7990"/>
    <w:rsid w:val="007C0AD6"/>
    <w:rsid w:val="007C19AF"/>
    <w:rsid w:val="007C1A2F"/>
    <w:rsid w:val="007C2100"/>
    <w:rsid w:val="007C3E1D"/>
    <w:rsid w:val="007C4A56"/>
    <w:rsid w:val="007C4CC5"/>
    <w:rsid w:val="007C59C2"/>
    <w:rsid w:val="007C5B88"/>
    <w:rsid w:val="007C61CB"/>
    <w:rsid w:val="007C6395"/>
    <w:rsid w:val="007C6CE9"/>
    <w:rsid w:val="007C710D"/>
    <w:rsid w:val="007C7694"/>
    <w:rsid w:val="007D0A1C"/>
    <w:rsid w:val="007D1564"/>
    <w:rsid w:val="007D1AE1"/>
    <w:rsid w:val="007D1CF7"/>
    <w:rsid w:val="007D6A95"/>
    <w:rsid w:val="007D6A99"/>
    <w:rsid w:val="007D6FE6"/>
    <w:rsid w:val="007D7532"/>
    <w:rsid w:val="007E027D"/>
    <w:rsid w:val="007E036A"/>
    <w:rsid w:val="007E16A5"/>
    <w:rsid w:val="007E1932"/>
    <w:rsid w:val="007E2621"/>
    <w:rsid w:val="007E2728"/>
    <w:rsid w:val="007E2D54"/>
    <w:rsid w:val="007E30B7"/>
    <w:rsid w:val="007E382A"/>
    <w:rsid w:val="007E430A"/>
    <w:rsid w:val="007E4954"/>
    <w:rsid w:val="007E53BF"/>
    <w:rsid w:val="007E5410"/>
    <w:rsid w:val="007E5560"/>
    <w:rsid w:val="007E643B"/>
    <w:rsid w:val="007E6D67"/>
    <w:rsid w:val="007E732D"/>
    <w:rsid w:val="007E7893"/>
    <w:rsid w:val="007F0412"/>
    <w:rsid w:val="007F0B07"/>
    <w:rsid w:val="007F0FDC"/>
    <w:rsid w:val="007F134B"/>
    <w:rsid w:val="007F22C4"/>
    <w:rsid w:val="007F232F"/>
    <w:rsid w:val="007F2426"/>
    <w:rsid w:val="007F2699"/>
    <w:rsid w:val="007F35FA"/>
    <w:rsid w:val="007F36EA"/>
    <w:rsid w:val="007F4858"/>
    <w:rsid w:val="007F554C"/>
    <w:rsid w:val="007F5E34"/>
    <w:rsid w:val="007F5E71"/>
    <w:rsid w:val="007F6191"/>
    <w:rsid w:val="007F758D"/>
    <w:rsid w:val="007F7C7F"/>
    <w:rsid w:val="008005A4"/>
    <w:rsid w:val="008007FD"/>
    <w:rsid w:val="0080093D"/>
    <w:rsid w:val="0080135B"/>
    <w:rsid w:val="008016EC"/>
    <w:rsid w:val="0080260B"/>
    <w:rsid w:val="008043F3"/>
    <w:rsid w:val="00805669"/>
    <w:rsid w:val="00805A19"/>
    <w:rsid w:val="00806278"/>
    <w:rsid w:val="008065DF"/>
    <w:rsid w:val="00807598"/>
    <w:rsid w:val="00807AA5"/>
    <w:rsid w:val="008108FE"/>
    <w:rsid w:val="0081132B"/>
    <w:rsid w:val="008113C0"/>
    <w:rsid w:val="008116AA"/>
    <w:rsid w:val="00814839"/>
    <w:rsid w:val="00816DC9"/>
    <w:rsid w:val="00817C39"/>
    <w:rsid w:val="00817E96"/>
    <w:rsid w:val="0082036B"/>
    <w:rsid w:val="00820C2C"/>
    <w:rsid w:val="00821CFE"/>
    <w:rsid w:val="00822348"/>
    <w:rsid w:val="00822F4F"/>
    <w:rsid w:val="00822FD8"/>
    <w:rsid w:val="008235A3"/>
    <w:rsid w:val="00823730"/>
    <w:rsid w:val="0082376D"/>
    <w:rsid w:val="00823DD7"/>
    <w:rsid w:val="008242EE"/>
    <w:rsid w:val="0082647C"/>
    <w:rsid w:val="0082681F"/>
    <w:rsid w:val="0082685D"/>
    <w:rsid w:val="00826B55"/>
    <w:rsid w:val="00827770"/>
    <w:rsid w:val="00827AA3"/>
    <w:rsid w:val="00827D16"/>
    <w:rsid w:val="00827F11"/>
    <w:rsid w:val="00830CBC"/>
    <w:rsid w:val="0083222D"/>
    <w:rsid w:val="00833496"/>
    <w:rsid w:val="00833B6A"/>
    <w:rsid w:val="00833E64"/>
    <w:rsid w:val="008349F6"/>
    <w:rsid w:val="00834BDD"/>
    <w:rsid w:val="00834FC3"/>
    <w:rsid w:val="00835ACC"/>
    <w:rsid w:val="00835BCE"/>
    <w:rsid w:val="00835CFA"/>
    <w:rsid w:val="0083673D"/>
    <w:rsid w:val="00836FC1"/>
    <w:rsid w:val="00837E33"/>
    <w:rsid w:val="008402F6"/>
    <w:rsid w:val="008409C2"/>
    <w:rsid w:val="00840A42"/>
    <w:rsid w:val="00840CE1"/>
    <w:rsid w:val="00841142"/>
    <w:rsid w:val="0084222E"/>
    <w:rsid w:val="00842499"/>
    <w:rsid w:val="0084260E"/>
    <w:rsid w:val="008431FA"/>
    <w:rsid w:val="0084445D"/>
    <w:rsid w:val="008454F2"/>
    <w:rsid w:val="00846A48"/>
    <w:rsid w:val="00846DA2"/>
    <w:rsid w:val="00847A3A"/>
    <w:rsid w:val="00850435"/>
    <w:rsid w:val="008513B4"/>
    <w:rsid w:val="008515A5"/>
    <w:rsid w:val="00852419"/>
    <w:rsid w:val="008524B6"/>
    <w:rsid w:val="00852989"/>
    <w:rsid w:val="00853C16"/>
    <w:rsid w:val="00854BEA"/>
    <w:rsid w:val="0085521F"/>
    <w:rsid w:val="0085542E"/>
    <w:rsid w:val="00856AA4"/>
    <w:rsid w:val="00857D17"/>
    <w:rsid w:val="00860E35"/>
    <w:rsid w:val="008618F9"/>
    <w:rsid w:val="00861B1C"/>
    <w:rsid w:val="00863A26"/>
    <w:rsid w:val="00866FD2"/>
    <w:rsid w:val="008671EF"/>
    <w:rsid w:val="00867F09"/>
    <w:rsid w:val="0087009D"/>
    <w:rsid w:val="00870163"/>
    <w:rsid w:val="0087256F"/>
    <w:rsid w:val="00873004"/>
    <w:rsid w:val="008730AD"/>
    <w:rsid w:val="00873868"/>
    <w:rsid w:val="00873D9F"/>
    <w:rsid w:val="00874322"/>
    <w:rsid w:val="008744F3"/>
    <w:rsid w:val="008748FB"/>
    <w:rsid w:val="00874BA7"/>
    <w:rsid w:val="00875353"/>
    <w:rsid w:val="00875D12"/>
    <w:rsid w:val="008763FF"/>
    <w:rsid w:val="00876AE0"/>
    <w:rsid w:val="00880C56"/>
    <w:rsid w:val="00880E37"/>
    <w:rsid w:val="00881A8A"/>
    <w:rsid w:val="0088215A"/>
    <w:rsid w:val="00882443"/>
    <w:rsid w:val="00883270"/>
    <w:rsid w:val="00883B26"/>
    <w:rsid w:val="008840CD"/>
    <w:rsid w:val="00884587"/>
    <w:rsid w:val="00884CDA"/>
    <w:rsid w:val="00884DAE"/>
    <w:rsid w:val="00886538"/>
    <w:rsid w:val="008868F9"/>
    <w:rsid w:val="008878D4"/>
    <w:rsid w:val="00887BBC"/>
    <w:rsid w:val="00887E53"/>
    <w:rsid w:val="00890EEB"/>
    <w:rsid w:val="0089179B"/>
    <w:rsid w:val="008920D6"/>
    <w:rsid w:val="00892671"/>
    <w:rsid w:val="008930BA"/>
    <w:rsid w:val="008932A9"/>
    <w:rsid w:val="00893431"/>
    <w:rsid w:val="00893D9F"/>
    <w:rsid w:val="0089473C"/>
    <w:rsid w:val="00895BB2"/>
    <w:rsid w:val="00895CD2"/>
    <w:rsid w:val="00896286"/>
    <w:rsid w:val="008962CB"/>
    <w:rsid w:val="0089659E"/>
    <w:rsid w:val="00896D57"/>
    <w:rsid w:val="008A064F"/>
    <w:rsid w:val="008A06DE"/>
    <w:rsid w:val="008A0B1E"/>
    <w:rsid w:val="008A12CB"/>
    <w:rsid w:val="008A17D6"/>
    <w:rsid w:val="008A3488"/>
    <w:rsid w:val="008A4C5A"/>
    <w:rsid w:val="008A601D"/>
    <w:rsid w:val="008A6525"/>
    <w:rsid w:val="008A6865"/>
    <w:rsid w:val="008A6F05"/>
    <w:rsid w:val="008A7695"/>
    <w:rsid w:val="008A7955"/>
    <w:rsid w:val="008A7B34"/>
    <w:rsid w:val="008B17E2"/>
    <w:rsid w:val="008B195E"/>
    <w:rsid w:val="008B2D6A"/>
    <w:rsid w:val="008B3D11"/>
    <w:rsid w:val="008B3F65"/>
    <w:rsid w:val="008B502B"/>
    <w:rsid w:val="008B649C"/>
    <w:rsid w:val="008B65F4"/>
    <w:rsid w:val="008B798D"/>
    <w:rsid w:val="008B7F82"/>
    <w:rsid w:val="008C0C60"/>
    <w:rsid w:val="008C1185"/>
    <w:rsid w:val="008C1775"/>
    <w:rsid w:val="008C1890"/>
    <w:rsid w:val="008C2AB0"/>
    <w:rsid w:val="008C2EC4"/>
    <w:rsid w:val="008C2FF1"/>
    <w:rsid w:val="008C303E"/>
    <w:rsid w:val="008C3CF8"/>
    <w:rsid w:val="008C424D"/>
    <w:rsid w:val="008C46AD"/>
    <w:rsid w:val="008C470F"/>
    <w:rsid w:val="008C49CD"/>
    <w:rsid w:val="008C5298"/>
    <w:rsid w:val="008C6159"/>
    <w:rsid w:val="008C6403"/>
    <w:rsid w:val="008C65FC"/>
    <w:rsid w:val="008C75D5"/>
    <w:rsid w:val="008D09E0"/>
    <w:rsid w:val="008D156A"/>
    <w:rsid w:val="008D1EB9"/>
    <w:rsid w:val="008D3275"/>
    <w:rsid w:val="008D36B3"/>
    <w:rsid w:val="008D37A6"/>
    <w:rsid w:val="008D3BEC"/>
    <w:rsid w:val="008D46E9"/>
    <w:rsid w:val="008D504B"/>
    <w:rsid w:val="008D56CA"/>
    <w:rsid w:val="008D5EB1"/>
    <w:rsid w:val="008D6074"/>
    <w:rsid w:val="008D74C6"/>
    <w:rsid w:val="008D7C21"/>
    <w:rsid w:val="008E0038"/>
    <w:rsid w:val="008E03C8"/>
    <w:rsid w:val="008E18F9"/>
    <w:rsid w:val="008E1A72"/>
    <w:rsid w:val="008E1F9A"/>
    <w:rsid w:val="008E3579"/>
    <w:rsid w:val="008E4391"/>
    <w:rsid w:val="008E5C66"/>
    <w:rsid w:val="008E6AF5"/>
    <w:rsid w:val="008E7694"/>
    <w:rsid w:val="008E76E9"/>
    <w:rsid w:val="008E7EC5"/>
    <w:rsid w:val="008F083E"/>
    <w:rsid w:val="008F1844"/>
    <w:rsid w:val="008F19BE"/>
    <w:rsid w:val="008F2908"/>
    <w:rsid w:val="008F361B"/>
    <w:rsid w:val="008F37BE"/>
    <w:rsid w:val="008F4287"/>
    <w:rsid w:val="008F4492"/>
    <w:rsid w:val="008F4B6C"/>
    <w:rsid w:val="008F551E"/>
    <w:rsid w:val="008F5AD5"/>
    <w:rsid w:val="008F6A00"/>
    <w:rsid w:val="008F6B05"/>
    <w:rsid w:val="008F6BF1"/>
    <w:rsid w:val="009004E4"/>
    <w:rsid w:val="00901BD2"/>
    <w:rsid w:val="009020B9"/>
    <w:rsid w:val="009024FE"/>
    <w:rsid w:val="00904678"/>
    <w:rsid w:val="009050DD"/>
    <w:rsid w:val="00905784"/>
    <w:rsid w:val="00907B55"/>
    <w:rsid w:val="009107BF"/>
    <w:rsid w:val="00910F9D"/>
    <w:rsid w:val="0091129E"/>
    <w:rsid w:val="00911BE1"/>
    <w:rsid w:val="00913655"/>
    <w:rsid w:val="00913C44"/>
    <w:rsid w:val="00914B05"/>
    <w:rsid w:val="0091501B"/>
    <w:rsid w:val="0091560F"/>
    <w:rsid w:val="009156FC"/>
    <w:rsid w:val="00915874"/>
    <w:rsid w:val="00915D8F"/>
    <w:rsid w:val="00915FC4"/>
    <w:rsid w:val="00916969"/>
    <w:rsid w:val="009171FB"/>
    <w:rsid w:val="009179A4"/>
    <w:rsid w:val="00917E19"/>
    <w:rsid w:val="00920036"/>
    <w:rsid w:val="0092039A"/>
    <w:rsid w:val="0092115A"/>
    <w:rsid w:val="00921872"/>
    <w:rsid w:val="00921EA8"/>
    <w:rsid w:val="009221C4"/>
    <w:rsid w:val="00922E0E"/>
    <w:rsid w:val="0092326A"/>
    <w:rsid w:val="00923BBC"/>
    <w:rsid w:val="00924278"/>
    <w:rsid w:val="00924902"/>
    <w:rsid w:val="00926456"/>
    <w:rsid w:val="00926FB7"/>
    <w:rsid w:val="00927EE7"/>
    <w:rsid w:val="009307A3"/>
    <w:rsid w:val="00930F36"/>
    <w:rsid w:val="009316B3"/>
    <w:rsid w:val="009317D1"/>
    <w:rsid w:val="00932977"/>
    <w:rsid w:val="00932C92"/>
    <w:rsid w:val="0093314E"/>
    <w:rsid w:val="00933F80"/>
    <w:rsid w:val="0093502C"/>
    <w:rsid w:val="009356E9"/>
    <w:rsid w:val="00936CB1"/>
    <w:rsid w:val="00936DC8"/>
    <w:rsid w:val="00937674"/>
    <w:rsid w:val="00940259"/>
    <w:rsid w:val="00940779"/>
    <w:rsid w:val="0094086A"/>
    <w:rsid w:val="00940E58"/>
    <w:rsid w:val="009410C8"/>
    <w:rsid w:val="00942534"/>
    <w:rsid w:val="00943345"/>
    <w:rsid w:val="00943481"/>
    <w:rsid w:val="009441B5"/>
    <w:rsid w:val="009446C2"/>
    <w:rsid w:val="009448B5"/>
    <w:rsid w:val="00944E93"/>
    <w:rsid w:val="00944F11"/>
    <w:rsid w:val="009455B9"/>
    <w:rsid w:val="009460B2"/>
    <w:rsid w:val="00946C2F"/>
    <w:rsid w:val="0094734D"/>
    <w:rsid w:val="009507D1"/>
    <w:rsid w:val="00950B06"/>
    <w:rsid w:val="00951A70"/>
    <w:rsid w:val="0095380B"/>
    <w:rsid w:val="00953EC7"/>
    <w:rsid w:val="00955731"/>
    <w:rsid w:val="00955750"/>
    <w:rsid w:val="009568BF"/>
    <w:rsid w:val="00957884"/>
    <w:rsid w:val="0096017B"/>
    <w:rsid w:val="009607BB"/>
    <w:rsid w:val="009612AE"/>
    <w:rsid w:val="00961550"/>
    <w:rsid w:val="009627E7"/>
    <w:rsid w:val="00962FEE"/>
    <w:rsid w:val="009638C0"/>
    <w:rsid w:val="00964427"/>
    <w:rsid w:val="00964C41"/>
    <w:rsid w:val="00964EE8"/>
    <w:rsid w:val="00967469"/>
    <w:rsid w:val="00967B97"/>
    <w:rsid w:val="00970B9A"/>
    <w:rsid w:val="00970CBD"/>
    <w:rsid w:val="00971BCC"/>
    <w:rsid w:val="00971EA7"/>
    <w:rsid w:val="00972CFB"/>
    <w:rsid w:val="00972D5D"/>
    <w:rsid w:val="009730B3"/>
    <w:rsid w:val="00973B7F"/>
    <w:rsid w:val="009742DE"/>
    <w:rsid w:val="009751ED"/>
    <w:rsid w:val="009751FA"/>
    <w:rsid w:val="00975860"/>
    <w:rsid w:val="00976350"/>
    <w:rsid w:val="009768B3"/>
    <w:rsid w:val="00976E71"/>
    <w:rsid w:val="00981627"/>
    <w:rsid w:val="0098292D"/>
    <w:rsid w:val="00982ABD"/>
    <w:rsid w:val="00982E1D"/>
    <w:rsid w:val="00984101"/>
    <w:rsid w:val="00984E26"/>
    <w:rsid w:val="009856EA"/>
    <w:rsid w:val="009858EE"/>
    <w:rsid w:val="00985AB2"/>
    <w:rsid w:val="00985C0E"/>
    <w:rsid w:val="00985C80"/>
    <w:rsid w:val="00985F84"/>
    <w:rsid w:val="0098654A"/>
    <w:rsid w:val="0098693B"/>
    <w:rsid w:val="00986D05"/>
    <w:rsid w:val="009872D5"/>
    <w:rsid w:val="009873E8"/>
    <w:rsid w:val="00987982"/>
    <w:rsid w:val="00987F39"/>
    <w:rsid w:val="009907AA"/>
    <w:rsid w:val="00991334"/>
    <w:rsid w:val="009915D9"/>
    <w:rsid w:val="00991F13"/>
    <w:rsid w:val="00993025"/>
    <w:rsid w:val="00993141"/>
    <w:rsid w:val="00993426"/>
    <w:rsid w:val="0099369A"/>
    <w:rsid w:val="009938C6"/>
    <w:rsid w:val="009945AB"/>
    <w:rsid w:val="00994B5A"/>
    <w:rsid w:val="00994DE6"/>
    <w:rsid w:val="0099674A"/>
    <w:rsid w:val="00997AB0"/>
    <w:rsid w:val="00997B52"/>
    <w:rsid w:val="009A0352"/>
    <w:rsid w:val="009A0CF0"/>
    <w:rsid w:val="009A0E0E"/>
    <w:rsid w:val="009A100E"/>
    <w:rsid w:val="009A289F"/>
    <w:rsid w:val="009A3784"/>
    <w:rsid w:val="009A3D9F"/>
    <w:rsid w:val="009A4002"/>
    <w:rsid w:val="009A4BFC"/>
    <w:rsid w:val="009A507A"/>
    <w:rsid w:val="009A5431"/>
    <w:rsid w:val="009A75F7"/>
    <w:rsid w:val="009A7F11"/>
    <w:rsid w:val="009B13A9"/>
    <w:rsid w:val="009B1D47"/>
    <w:rsid w:val="009B1E33"/>
    <w:rsid w:val="009B1ECC"/>
    <w:rsid w:val="009B2408"/>
    <w:rsid w:val="009B2A71"/>
    <w:rsid w:val="009B2E0B"/>
    <w:rsid w:val="009B4350"/>
    <w:rsid w:val="009B515A"/>
    <w:rsid w:val="009B5220"/>
    <w:rsid w:val="009B553B"/>
    <w:rsid w:val="009B64B9"/>
    <w:rsid w:val="009C031F"/>
    <w:rsid w:val="009C0502"/>
    <w:rsid w:val="009C1853"/>
    <w:rsid w:val="009C2E7D"/>
    <w:rsid w:val="009C3393"/>
    <w:rsid w:val="009C3C89"/>
    <w:rsid w:val="009C3DD1"/>
    <w:rsid w:val="009C3F4E"/>
    <w:rsid w:val="009C4C30"/>
    <w:rsid w:val="009C4C78"/>
    <w:rsid w:val="009C50FD"/>
    <w:rsid w:val="009C5510"/>
    <w:rsid w:val="009C65CC"/>
    <w:rsid w:val="009C67EE"/>
    <w:rsid w:val="009C680B"/>
    <w:rsid w:val="009C7631"/>
    <w:rsid w:val="009C7777"/>
    <w:rsid w:val="009C792E"/>
    <w:rsid w:val="009D1923"/>
    <w:rsid w:val="009D226F"/>
    <w:rsid w:val="009D237A"/>
    <w:rsid w:val="009D2D43"/>
    <w:rsid w:val="009D313F"/>
    <w:rsid w:val="009D3646"/>
    <w:rsid w:val="009D401C"/>
    <w:rsid w:val="009D45AC"/>
    <w:rsid w:val="009D4623"/>
    <w:rsid w:val="009D548A"/>
    <w:rsid w:val="009D63EB"/>
    <w:rsid w:val="009D6514"/>
    <w:rsid w:val="009D6700"/>
    <w:rsid w:val="009D6FEE"/>
    <w:rsid w:val="009D7A02"/>
    <w:rsid w:val="009E0B75"/>
    <w:rsid w:val="009E0D0D"/>
    <w:rsid w:val="009E14B8"/>
    <w:rsid w:val="009E36B3"/>
    <w:rsid w:val="009E39EA"/>
    <w:rsid w:val="009E3E4C"/>
    <w:rsid w:val="009E4476"/>
    <w:rsid w:val="009E49F0"/>
    <w:rsid w:val="009E5C60"/>
    <w:rsid w:val="009E5C6C"/>
    <w:rsid w:val="009E628D"/>
    <w:rsid w:val="009E634B"/>
    <w:rsid w:val="009E64D2"/>
    <w:rsid w:val="009E71C8"/>
    <w:rsid w:val="009E7485"/>
    <w:rsid w:val="009E7673"/>
    <w:rsid w:val="009E76EC"/>
    <w:rsid w:val="009E7F8B"/>
    <w:rsid w:val="009F0449"/>
    <w:rsid w:val="009F08E3"/>
    <w:rsid w:val="009F0F38"/>
    <w:rsid w:val="009F1530"/>
    <w:rsid w:val="009F164F"/>
    <w:rsid w:val="009F21D6"/>
    <w:rsid w:val="009F26AA"/>
    <w:rsid w:val="009F2D87"/>
    <w:rsid w:val="009F3734"/>
    <w:rsid w:val="009F39F0"/>
    <w:rsid w:val="009F4414"/>
    <w:rsid w:val="009F4F2E"/>
    <w:rsid w:val="009F53DC"/>
    <w:rsid w:val="009F5D64"/>
    <w:rsid w:val="009F6109"/>
    <w:rsid w:val="009F6D92"/>
    <w:rsid w:val="009F709D"/>
    <w:rsid w:val="00A01C8E"/>
    <w:rsid w:val="00A035B2"/>
    <w:rsid w:val="00A03AC3"/>
    <w:rsid w:val="00A0466D"/>
    <w:rsid w:val="00A0478B"/>
    <w:rsid w:val="00A04A79"/>
    <w:rsid w:val="00A0541F"/>
    <w:rsid w:val="00A05705"/>
    <w:rsid w:val="00A057EC"/>
    <w:rsid w:val="00A06FD6"/>
    <w:rsid w:val="00A105E4"/>
    <w:rsid w:val="00A10A5B"/>
    <w:rsid w:val="00A10DED"/>
    <w:rsid w:val="00A11BC2"/>
    <w:rsid w:val="00A11E48"/>
    <w:rsid w:val="00A126C6"/>
    <w:rsid w:val="00A12D4D"/>
    <w:rsid w:val="00A13810"/>
    <w:rsid w:val="00A13ABA"/>
    <w:rsid w:val="00A15C59"/>
    <w:rsid w:val="00A162EF"/>
    <w:rsid w:val="00A1631A"/>
    <w:rsid w:val="00A166F2"/>
    <w:rsid w:val="00A17021"/>
    <w:rsid w:val="00A17721"/>
    <w:rsid w:val="00A20DB2"/>
    <w:rsid w:val="00A22E4F"/>
    <w:rsid w:val="00A23836"/>
    <w:rsid w:val="00A24BD9"/>
    <w:rsid w:val="00A24FF4"/>
    <w:rsid w:val="00A25029"/>
    <w:rsid w:val="00A2592A"/>
    <w:rsid w:val="00A25E42"/>
    <w:rsid w:val="00A25EFB"/>
    <w:rsid w:val="00A26245"/>
    <w:rsid w:val="00A275A5"/>
    <w:rsid w:val="00A27E5F"/>
    <w:rsid w:val="00A30024"/>
    <w:rsid w:val="00A30E9C"/>
    <w:rsid w:val="00A313BE"/>
    <w:rsid w:val="00A3142D"/>
    <w:rsid w:val="00A3217B"/>
    <w:rsid w:val="00A3256B"/>
    <w:rsid w:val="00A3348F"/>
    <w:rsid w:val="00A3362C"/>
    <w:rsid w:val="00A33DA9"/>
    <w:rsid w:val="00A33F3A"/>
    <w:rsid w:val="00A34373"/>
    <w:rsid w:val="00A344A3"/>
    <w:rsid w:val="00A35069"/>
    <w:rsid w:val="00A35890"/>
    <w:rsid w:val="00A361E2"/>
    <w:rsid w:val="00A36D8F"/>
    <w:rsid w:val="00A377C4"/>
    <w:rsid w:val="00A40573"/>
    <w:rsid w:val="00A40663"/>
    <w:rsid w:val="00A428A9"/>
    <w:rsid w:val="00A4293F"/>
    <w:rsid w:val="00A42CFC"/>
    <w:rsid w:val="00A43916"/>
    <w:rsid w:val="00A45C57"/>
    <w:rsid w:val="00A46762"/>
    <w:rsid w:val="00A46E5B"/>
    <w:rsid w:val="00A47E9C"/>
    <w:rsid w:val="00A5048E"/>
    <w:rsid w:val="00A5057F"/>
    <w:rsid w:val="00A51801"/>
    <w:rsid w:val="00A51983"/>
    <w:rsid w:val="00A53E1E"/>
    <w:rsid w:val="00A53E3E"/>
    <w:rsid w:val="00A54283"/>
    <w:rsid w:val="00A54A39"/>
    <w:rsid w:val="00A54C68"/>
    <w:rsid w:val="00A5504E"/>
    <w:rsid w:val="00A55739"/>
    <w:rsid w:val="00A55A12"/>
    <w:rsid w:val="00A56BC6"/>
    <w:rsid w:val="00A57D03"/>
    <w:rsid w:val="00A6063F"/>
    <w:rsid w:val="00A60F1B"/>
    <w:rsid w:val="00A60FA1"/>
    <w:rsid w:val="00A615EE"/>
    <w:rsid w:val="00A62195"/>
    <w:rsid w:val="00A62E7A"/>
    <w:rsid w:val="00A6374D"/>
    <w:rsid w:val="00A6380C"/>
    <w:rsid w:val="00A646F4"/>
    <w:rsid w:val="00A65655"/>
    <w:rsid w:val="00A668F8"/>
    <w:rsid w:val="00A6763E"/>
    <w:rsid w:val="00A679FC"/>
    <w:rsid w:val="00A700A8"/>
    <w:rsid w:val="00A70F47"/>
    <w:rsid w:val="00A715D7"/>
    <w:rsid w:val="00A71B52"/>
    <w:rsid w:val="00A722B3"/>
    <w:rsid w:val="00A72489"/>
    <w:rsid w:val="00A726A6"/>
    <w:rsid w:val="00A73226"/>
    <w:rsid w:val="00A73BA5"/>
    <w:rsid w:val="00A74249"/>
    <w:rsid w:val="00A75C5C"/>
    <w:rsid w:val="00A768E3"/>
    <w:rsid w:val="00A77BC3"/>
    <w:rsid w:val="00A77EEA"/>
    <w:rsid w:val="00A80755"/>
    <w:rsid w:val="00A8096B"/>
    <w:rsid w:val="00A80BCB"/>
    <w:rsid w:val="00A80C1D"/>
    <w:rsid w:val="00A80D89"/>
    <w:rsid w:val="00A81427"/>
    <w:rsid w:val="00A8143E"/>
    <w:rsid w:val="00A82148"/>
    <w:rsid w:val="00A82CBC"/>
    <w:rsid w:val="00A839BC"/>
    <w:rsid w:val="00A83C02"/>
    <w:rsid w:val="00A83E2F"/>
    <w:rsid w:val="00A840DA"/>
    <w:rsid w:val="00A841F2"/>
    <w:rsid w:val="00A841FB"/>
    <w:rsid w:val="00A847CA"/>
    <w:rsid w:val="00A84936"/>
    <w:rsid w:val="00A84E04"/>
    <w:rsid w:val="00A866C0"/>
    <w:rsid w:val="00A86996"/>
    <w:rsid w:val="00A87A7F"/>
    <w:rsid w:val="00A91128"/>
    <w:rsid w:val="00A912A6"/>
    <w:rsid w:val="00A91721"/>
    <w:rsid w:val="00A922C8"/>
    <w:rsid w:val="00A922F0"/>
    <w:rsid w:val="00A92AED"/>
    <w:rsid w:val="00A935D8"/>
    <w:rsid w:val="00A93BF6"/>
    <w:rsid w:val="00A93CC8"/>
    <w:rsid w:val="00A94046"/>
    <w:rsid w:val="00A94069"/>
    <w:rsid w:val="00A94AFB"/>
    <w:rsid w:val="00A94C42"/>
    <w:rsid w:val="00A94D37"/>
    <w:rsid w:val="00A9575F"/>
    <w:rsid w:val="00A95AD8"/>
    <w:rsid w:val="00AA014C"/>
    <w:rsid w:val="00AA28B7"/>
    <w:rsid w:val="00AA2C1A"/>
    <w:rsid w:val="00AA3CCC"/>
    <w:rsid w:val="00AA3E60"/>
    <w:rsid w:val="00AA4062"/>
    <w:rsid w:val="00AA45C7"/>
    <w:rsid w:val="00AA46BB"/>
    <w:rsid w:val="00AA5278"/>
    <w:rsid w:val="00AA5319"/>
    <w:rsid w:val="00AA749D"/>
    <w:rsid w:val="00AB0838"/>
    <w:rsid w:val="00AB0BE5"/>
    <w:rsid w:val="00AB0CF5"/>
    <w:rsid w:val="00AB16EF"/>
    <w:rsid w:val="00AB3387"/>
    <w:rsid w:val="00AB3FF7"/>
    <w:rsid w:val="00AB40CE"/>
    <w:rsid w:val="00AB42E3"/>
    <w:rsid w:val="00AB4B6D"/>
    <w:rsid w:val="00AB5119"/>
    <w:rsid w:val="00AB5EE5"/>
    <w:rsid w:val="00AB6AFC"/>
    <w:rsid w:val="00AB6FE7"/>
    <w:rsid w:val="00AB74E1"/>
    <w:rsid w:val="00AB7C3D"/>
    <w:rsid w:val="00AC0736"/>
    <w:rsid w:val="00AC108B"/>
    <w:rsid w:val="00AC2152"/>
    <w:rsid w:val="00AC325F"/>
    <w:rsid w:val="00AC3EBE"/>
    <w:rsid w:val="00AC4186"/>
    <w:rsid w:val="00AC4EBD"/>
    <w:rsid w:val="00AC6E5A"/>
    <w:rsid w:val="00AC7B48"/>
    <w:rsid w:val="00AD016E"/>
    <w:rsid w:val="00AD0932"/>
    <w:rsid w:val="00AD1350"/>
    <w:rsid w:val="00AD1B1C"/>
    <w:rsid w:val="00AD2542"/>
    <w:rsid w:val="00AD2AD0"/>
    <w:rsid w:val="00AD346E"/>
    <w:rsid w:val="00AD354D"/>
    <w:rsid w:val="00AD3836"/>
    <w:rsid w:val="00AD3D13"/>
    <w:rsid w:val="00AD4373"/>
    <w:rsid w:val="00AD4802"/>
    <w:rsid w:val="00AD5B65"/>
    <w:rsid w:val="00AD6782"/>
    <w:rsid w:val="00AD6812"/>
    <w:rsid w:val="00AD6C68"/>
    <w:rsid w:val="00AD761E"/>
    <w:rsid w:val="00AD79B7"/>
    <w:rsid w:val="00AD7BFE"/>
    <w:rsid w:val="00AE0C6E"/>
    <w:rsid w:val="00AE1518"/>
    <w:rsid w:val="00AE1BF3"/>
    <w:rsid w:val="00AE25C4"/>
    <w:rsid w:val="00AE294F"/>
    <w:rsid w:val="00AE37C8"/>
    <w:rsid w:val="00AE3AD0"/>
    <w:rsid w:val="00AE3B40"/>
    <w:rsid w:val="00AE3BA8"/>
    <w:rsid w:val="00AE3F0C"/>
    <w:rsid w:val="00AE4611"/>
    <w:rsid w:val="00AE4995"/>
    <w:rsid w:val="00AE54C1"/>
    <w:rsid w:val="00AE5764"/>
    <w:rsid w:val="00AE584D"/>
    <w:rsid w:val="00AE7193"/>
    <w:rsid w:val="00AE799B"/>
    <w:rsid w:val="00AF06F1"/>
    <w:rsid w:val="00AF0C74"/>
    <w:rsid w:val="00AF103B"/>
    <w:rsid w:val="00AF3BFA"/>
    <w:rsid w:val="00AF42D3"/>
    <w:rsid w:val="00AF49D2"/>
    <w:rsid w:val="00AF4EEF"/>
    <w:rsid w:val="00AF508D"/>
    <w:rsid w:val="00AF5164"/>
    <w:rsid w:val="00AF5AC4"/>
    <w:rsid w:val="00AF6700"/>
    <w:rsid w:val="00AF6D28"/>
    <w:rsid w:val="00B00532"/>
    <w:rsid w:val="00B00DD8"/>
    <w:rsid w:val="00B01695"/>
    <w:rsid w:val="00B0206E"/>
    <w:rsid w:val="00B03283"/>
    <w:rsid w:val="00B03E5A"/>
    <w:rsid w:val="00B042F2"/>
    <w:rsid w:val="00B0442B"/>
    <w:rsid w:val="00B04D8C"/>
    <w:rsid w:val="00B05359"/>
    <w:rsid w:val="00B06C6A"/>
    <w:rsid w:val="00B075F4"/>
    <w:rsid w:val="00B13688"/>
    <w:rsid w:val="00B139B8"/>
    <w:rsid w:val="00B14642"/>
    <w:rsid w:val="00B164FA"/>
    <w:rsid w:val="00B16BFD"/>
    <w:rsid w:val="00B16C24"/>
    <w:rsid w:val="00B17343"/>
    <w:rsid w:val="00B225E6"/>
    <w:rsid w:val="00B2278C"/>
    <w:rsid w:val="00B23266"/>
    <w:rsid w:val="00B23E13"/>
    <w:rsid w:val="00B23FE6"/>
    <w:rsid w:val="00B2450B"/>
    <w:rsid w:val="00B2524C"/>
    <w:rsid w:val="00B25584"/>
    <w:rsid w:val="00B267AC"/>
    <w:rsid w:val="00B274CE"/>
    <w:rsid w:val="00B27722"/>
    <w:rsid w:val="00B27741"/>
    <w:rsid w:val="00B278CE"/>
    <w:rsid w:val="00B30F99"/>
    <w:rsid w:val="00B315FE"/>
    <w:rsid w:val="00B316F2"/>
    <w:rsid w:val="00B3176B"/>
    <w:rsid w:val="00B321CB"/>
    <w:rsid w:val="00B32540"/>
    <w:rsid w:val="00B33D70"/>
    <w:rsid w:val="00B34188"/>
    <w:rsid w:val="00B34498"/>
    <w:rsid w:val="00B34DEE"/>
    <w:rsid w:val="00B35021"/>
    <w:rsid w:val="00B355C3"/>
    <w:rsid w:val="00B35F1A"/>
    <w:rsid w:val="00B368BC"/>
    <w:rsid w:val="00B371E5"/>
    <w:rsid w:val="00B40295"/>
    <w:rsid w:val="00B415CA"/>
    <w:rsid w:val="00B428FF"/>
    <w:rsid w:val="00B4348C"/>
    <w:rsid w:val="00B43EF9"/>
    <w:rsid w:val="00B443C7"/>
    <w:rsid w:val="00B45908"/>
    <w:rsid w:val="00B45CFA"/>
    <w:rsid w:val="00B45FD4"/>
    <w:rsid w:val="00B4610E"/>
    <w:rsid w:val="00B463C1"/>
    <w:rsid w:val="00B46D1D"/>
    <w:rsid w:val="00B46DFB"/>
    <w:rsid w:val="00B47A3B"/>
    <w:rsid w:val="00B50402"/>
    <w:rsid w:val="00B52541"/>
    <w:rsid w:val="00B55C37"/>
    <w:rsid w:val="00B55E93"/>
    <w:rsid w:val="00B55F6D"/>
    <w:rsid w:val="00B56581"/>
    <w:rsid w:val="00B56793"/>
    <w:rsid w:val="00B601F7"/>
    <w:rsid w:val="00B602F3"/>
    <w:rsid w:val="00B61A39"/>
    <w:rsid w:val="00B620F8"/>
    <w:rsid w:val="00B62962"/>
    <w:rsid w:val="00B63662"/>
    <w:rsid w:val="00B63C32"/>
    <w:rsid w:val="00B6401A"/>
    <w:rsid w:val="00B6501B"/>
    <w:rsid w:val="00B65805"/>
    <w:rsid w:val="00B65F56"/>
    <w:rsid w:val="00B66323"/>
    <w:rsid w:val="00B67F90"/>
    <w:rsid w:val="00B67F92"/>
    <w:rsid w:val="00B7023B"/>
    <w:rsid w:val="00B7046B"/>
    <w:rsid w:val="00B70700"/>
    <w:rsid w:val="00B70972"/>
    <w:rsid w:val="00B70A57"/>
    <w:rsid w:val="00B71ADC"/>
    <w:rsid w:val="00B740C2"/>
    <w:rsid w:val="00B74830"/>
    <w:rsid w:val="00B7507C"/>
    <w:rsid w:val="00B7701C"/>
    <w:rsid w:val="00B7764E"/>
    <w:rsid w:val="00B81335"/>
    <w:rsid w:val="00B81611"/>
    <w:rsid w:val="00B8175A"/>
    <w:rsid w:val="00B81B6C"/>
    <w:rsid w:val="00B81EA3"/>
    <w:rsid w:val="00B82565"/>
    <w:rsid w:val="00B82B91"/>
    <w:rsid w:val="00B83088"/>
    <w:rsid w:val="00B8383F"/>
    <w:rsid w:val="00B83A6C"/>
    <w:rsid w:val="00B84015"/>
    <w:rsid w:val="00B841B2"/>
    <w:rsid w:val="00B843DE"/>
    <w:rsid w:val="00B86876"/>
    <w:rsid w:val="00B86A9A"/>
    <w:rsid w:val="00B87299"/>
    <w:rsid w:val="00B879FB"/>
    <w:rsid w:val="00B9092D"/>
    <w:rsid w:val="00B91668"/>
    <w:rsid w:val="00B92280"/>
    <w:rsid w:val="00B92E07"/>
    <w:rsid w:val="00B93112"/>
    <w:rsid w:val="00B93871"/>
    <w:rsid w:val="00B93A0B"/>
    <w:rsid w:val="00B944D6"/>
    <w:rsid w:val="00B9471A"/>
    <w:rsid w:val="00B9549B"/>
    <w:rsid w:val="00B959CA"/>
    <w:rsid w:val="00B96813"/>
    <w:rsid w:val="00B968D8"/>
    <w:rsid w:val="00B9783F"/>
    <w:rsid w:val="00B97AF0"/>
    <w:rsid w:val="00BA0ED7"/>
    <w:rsid w:val="00BA1072"/>
    <w:rsid w:val="00BA187D"/>
    <w:rsid w:val="00BA1AE7"/>
    <w:rsid w:val="00BA2958"/>
    <w:rsid w:val="00BA29E5"/>
    <w:rsid w:val="00BA3D91"/>
    <w:rsid w:val="00BA42BF"/>
    <w:rsid w:val="00BA42FE"/>
    <w:rsid w:val="00BA4A29"/>
    <w:rsid w:val="00BA4B89"/>
    <w:rsid w:val="00BA4E66"/>
    <w:rsid w:val="00BA534A"/>
    <w:rsid w:val="00BA5366"/>
    <w:rsid w:val="00BA55F5"/>
    <w:rsid w:val="00BA56D8"/>
    <w:rsid w:val="00BA5DAE"/>
    <w:rsid w:val="00BA6228"/>
    <w:rsid w:val="00BA6679"/>
    <w:rsid w:val="00BA66FB"/>
    <w:rsid w:val="00BA7684"/>
    <w:rsid w:val="00BA7FBC"/>
    <w:rsid w:val="00BB0B7B"/>
    <w:rsid w:val="00BB0D39"/>
    <w:rsid w:val="00BB0EAA"/>
    <w:rsid w:val="00BB224F"/>
    <w:rsid w:val="00BB41AB"/>
    <w:rsid w:val="00BB4FDF"/>
    <w:rsid w:val="00BB5491"/>
    <w:rsid w:val="00BB6527"/>
    <w:rsid w:val="00BB6759"/>
    <w:rsid w:val="00BB6993"/>
    <w:rsid w:val="00BB7564"/>
    <w:rsid w:val="00BC04FE"/>
    <w:rsid w:val="00BC1AED"/>
    <w:rsid w:val="00BC260A"/>
    <w:rsid w:val="00BC2D90"/>
    <w:rsid w:val="00BC47DE"/>
    <w:rsid w:val="00BC51FB"/>
    <w:rsid w:val="00BC6099"/>
    <w:rsid w:val="00BC6A02"/>
    <w:rsid w:val="00BC70E3"/>
    <w:rsid w:val="00BC7526"/>
    <w:rsid w:val="00BD3769"/>
    <w:rsid w:val="00BD37AD"/>
    <w:rsid w:val="00BD40CD"/>
    <w:rsid w:val="00BD4740"/>
    <w:rsid w:val="00BD73F2"/>
    <w:rsid w:val="00BD75C7"/>
    <w:rsid w:val="00BD7A69"/>
    <w:rsid w:val="00BE0B4F"/>
    <w:rsid w:val="00BE1BBD"/>
    <w:rsid w:val="00BE234A"/>
    <w:rsid w:val="00BE23BC"/>
    <w:rsid w:val="00BE322F"/>
    <w:rsid w:val="00BE3F7E"/>
    <w:rsid w:val="00BE7D83"/>
    <w:rsid w:val="00BF04B0"/>
    <w:rsid w:val="00BF0B52"/>
    <w:rsid w:val="00BF27D6"/>
    <w:rsid w:val="00BF4357"/>
    <w:rsid w:val="00BF5210"/>
    <w:rsid w:val="00BF5917"/>
    <w:rsid w:val="00BF5B64"/>
    <w:rsid w:val="00BF62A0"/>
    <w:rsid w:val="00BF688E"/>
    <w:rsid w:val="00BF728F"/>
    <w:rsid w:val="00BF763D"/>
    <w:rsid w:val="00BF7824"/>
    <w:rsid w:val="00BF7E15"/>
    <w:rsid w:val="00C01ADC"/>
    <w:rsid w:val="00C02101"/>
    <w:rsid w:val="00C028FC"/>
    <w:rsid w:val="00C029D3"/>
    <w:rsid w:val="00C03478"/>
    <w:rsid w:val="00C045B3"/>
    <w:rsid w:val="00C04E88"/>
    <w:rsid w:val="00C0500F"/>
    <w:rsid w:val="00C054CA"/>
    <w:rsid w:val="00C06584"/>
    <w:rsid w:val="00C0757E"/>
    <w:rsid w:val="00C07DF0"/>
    <w:rsid w:val="00C10E83"/>
    <w:rsid w:val="00C1196C"/>
    <w:rsid w:val="00C11A8C"/>
    <w:rsid w:val="00C12232"/>
    <w:rsid w:val="00C127E7"/>
    <w:rsid w:val="00C12908"/>
    <w:rsid w:val="00C12AB7"/>
    <w:rsid w:val="00C12F1C"/>
    <w:rsid w:val="00C1301D"/>
    <w:rsid w:val="00C131E8"/>
    <w:rsid w:val="00C134B7"/>
    <w:rsid w:val="00C143AB"/>
    <w:rsid w:val="00C1677D"/>
    <w:rsid w:val="00C16B0F"/>
    <w:rsid w:val="00C1748A"/>
    <w:rsid w:val="00C174CD"/>
    <w:rsid w:val="00C17BEA"/>
    <w:rsid w:val="00C20381"/>
    <w:rsid w:val="00C20897"/>
    <w:rsid w:val="00C20AE8"/>
    <w:rsid w:val="00C21653"/>
    <w:rsid w:val="00C23541"/>
    <w:rsid w:val="00C23A3C"/>
    <w:rsid w:val="00C24BAC"/>
    <w:rsid w:val="00C25109"/>
    <w:rsid w:val="00C25E85"/>
    <w:rsid w:val="00C263DE"/>
    <w:rsid w:val="00C276C8"/>
    <w:rsid w:val="00C32946"/>
    <w:rsid w:val="00C331E2"/>
    <w:rsid w:val="00C33D74"/>
    <w:rsid w:val="00C33DE6"/>
    <w:rsid w:val="00C34097"/>
    <w:rsid w:val="00C35418"/>
    <w:rsid w:val="00C359FE"/>
    <w:rsid w:val="00C3687B"/>
    <w:rsid w:val="00C37530"/>
    <w:rsid w:val="00C40461"/>
    <w:rsid w:val="00C4264C"/>
    <w:rsid w:val="00C4281E"/>
    <w:rsid w:val="00C42C5D"/>
    <w:rsid w:val="00C432C5"/>
    <w:rsid w:val="00C43F4E"/>
    <w:rsid w:val="00C440FC"/>
    <w:rsid w:val="00C443FF"/>
    <w:rsid w:val="00C44909"/>
    <w:rsid w:val="00C44E58"/>
    <w:rsid w:val="00C44FEF"/>
    <w:rsid w:val="00C453D3"/>
    <w:rsid w:val="00C457BA"/>
    <w:rsid w:val="00C45ADD"/>
    <w:rsid w:val="00C45E0D"/>
    <w:rsid w:val="00C46817"/>
    <w:rsid w:val="00C47D84"/>
    <w:rsid w:val="00C50EB3"/>
    <w:rsid w:val="00C510B6"/>
    <w:rsid w:val="00C52360"/>
    <w:rsid w:val="00C524B6"/>
    <w:rsid w:val="00C52BA5"/>
    <w:rsid w:val="00C53154"/>
    <w:rsid w:val="00C533A8"/>
    <w:rsid w:val="00C53C2D"/>
    <w:rsid w:val="00C5763C"/>
    <w:rsid w:val="00C601F7"/>
    <w:rsid w:val="00C608C1"/>
    <w:rsid w:val="00C6107B"/>
    <w:rsid w:val="00C617B6"/>
    <w:rsid w:val="00C61848"/>
    <w:rsid w:val="00C61E4C"/>
    <w:rsid w:val="00C62377"/>
    <w:rsid w:val="00C64F7C"/>
    <w:rsid w:val="00C65474"/>
    <w:rsid w:val="00C65982"/>
    <w:rsid w:val="00C66AC9"/>
    <w:rsid w:val="00C67341"/>
    <w:rsid w:val="00C676DF"/>
    <w:rsid w:val="00C678E1"/>
    <w:rsid w:val="00C7072B"/>
    <w:rsid w:val="00C70F01"/>
    <w:rsid w:val="00C7134E"/>
    <w:rsid w:val="00C7138C"/>
    <w:rsid w:val="00C71DCA"/>
    <w:rsid w:val="00C720CA"/>
    <w:rsid w:val="00C725B2"/>
    <w:rsid w:val="00C729FC"/>
    <w:rsid w:val="00C7315F"/>
    <w:rsid w:val="00C741EB"/>
    <w:rsid w:val="00C74295"/>
    <w:rsid w:val="00C7442B"/>
    <w:rsid w:val="00C744FE"/>
    <w:rsid w:val="00C74B1B"/>
    <w:rsid w:val="00C74C2E"/>
    <w:rsid w:val="00C7628A"/>
    <w:rsid w:val="00C76F6C"/>
    <w:rsid w:val="00C801CB"/>
    <w:rsid w:val="00C80E2B"/>
    <w:rsid w:val="00C81542"/>
    <w:rsid w:val="00C8295B"/>
    <w:rsid w:val="00C82F35"/>
    <w:rsid w:val="00C83B99"/>
    <w:rsid w:val="00C841CF"/>
    <w:rsid w:val="00C84706"/>
    <w:rsid w:val="00C84B7F"/>
    <w:rsid w:val="00C858FB"/>
    <w:rsid w:val="00C85907"/>
    <w:rsid w:val="00C85AFF"/>
    <w:rsid w:val="00C86047"/>
    <w:rsid w:val="00C87355"/>
    <w:rsid w:val="00C91369"/>
    <w:rsid w:val="00C92E61"/>
    <w:rsid w:val="00C92FE7"/>
    <w:rsid w:val="00C94226"/>
    <w:rsid w:val="00C94541"/>
    <w:rsid w:val="00C94C27"/>
    <w:rsid w:val="00C96B5D"/>
    <w:rsid w:val="00C97A09"/>
    <w:rsid w:val="00CA0C1E"/>
    <w:rsid w:val="00CA0E02"/>
    <w:rsid w:val="00CA1A08"/>
    <w:rsid w:val="00CA27F5"/>
    <w:rsid w:val="00CA2CD1"/>
    <w:rsid w:val="00CA359C"/>
    <w:rsid w:val="00CA38DC"/>
    <w:rsid w:val="00CA394D"/>
    <w:rsid w:val="00CA476F"/>
    <w:rsid w:val="00CA59C5"/>
    <w:rsid w:val="00CA607F"/>
    <w:rsid w:val="00CA6CB2"/>
    <w:rsid w:val="00CA704A"/>
    <w:rsid w:val="00CA71FA"/>
    <w:rsid w:val="00CA7520"/>
    <w:rsid w:val="00CA7C94"/>
    <w:rsid w:val="00CA7DC1"/>
    <w:rsid w:val="00CB0CEF"/>
    <w:rsid w:val="00CB1830"/>
    <w:rsid w:val="00CB1C85"/>
    <w:rsid w:val="00CB2F12"/>
    <w:rsid w:val="00CB3071"/>
    <w:rsid w:val="00CB3721"/>
    <w:rsid w:val="00CB4D6F"/>
    <w:rsid w:val="00CB5355"/>
    <w:rsid w:val="00CB70F7"/>
    <w:rsid w:val="00CB789C"/>
    <w:rsid w:val="00CC0103"/>
    <w:rsid w:val="00CC0A3A"/>
    <w:rsid w:val="00CC0B1D"/>
    <w:rsid w:val="00CC1948"/>
    <w:rsid w:val="00CC23F3"/>
    <w:rsid w:val="00CC3D89"/>
    <w:rsid w:val="00CC4817"/>
    <w:rsid w:val="00CC4B09"/>
    <w:rsid w:val="00CC4BB7"/>
    <w:rsid w:val="00CC6C1D"/>
    <w:rsid w:val="00CC7092"/>
    <w:rsid w:val="00CC78A3"/>
    <w:rsid w:val="00CD0983"/>
    <w:rsid w:val="00CD11ED"/>
    <w:rsid w:val="00CD1768"/>
    <w:rsid w:val="00CD23B3"/>
    <w:rsid w:val="00CD3040"/>
    <w:rsid w:val="00CD3CB0"/>
    <w:rsid w:val="00CD4033"/>
    <w:rsid w:val="00CD57A3"/>
    <w:rsid w:val="00CD5CC5"/>
    <w:rsid w:val="00CD650A"/>
    <w:rsid w:val="00CD6ED4"/>
    <w:rsid w:val="00CD7A5B"/>
    <w:rsid w:val="00CE038D"/>
    <w:rsid w:val="00CE0D8C"/>
    <w:rsid w:val="00CE129F"/>
    <w:rsid w:val="00CE1778"/>
    <w:rsid w:val="00CE2099"/>
    <w:rsid w:val="00CE2224"/>
    <w:rsid w:val="00CE2DAF"/>
    <w:rsid w:val="00CE2FCE"/>
    <w:rsid w:val="00CE38B8"/>
    <w:rsid w:val="00CE4ABA"/>
    <w:rsid w:val="00CE59AA"/>
    <w:rsid w:val="00CE628B"/>
    <w:rsid w:val="00CE6781"/>
    <w:rsid w:val="00CE6EAF"/>
    <w:rsid w:val="00CF0900"/>
    <w:rsid w:val="00CF2D04"/>
    <w:rsid w:val="00CF32C8"/>
    <w:rsid w:val="00CF3972"/>
    <w:rsid w:val="00CF3DB8"/>
    <w:rsid w:val="00CF4497"/>
    <w:rsid w:val="00CF7460"/>
    <w:rsid w:val="00CF755D"/>
    <w:rsid w:val="00D007FA"/>
    <w:rsid w:val="00D01031"/>
    <w:rsid w:val="00D01663"/>
    <w:rsid w:val="00D01DB6"/>
    <w:rsid w:val="00D02835"/>
    <w:rsid w:val="00D03D30"/>
    <w:rsid w:val="00D03E9F"/>
    <w:rsid w:val="00D0431B"/>
    <w:rsid w:val="00D0470A"/>
    <w:rsid w:val="00D04DC6"/>
    <w:rsid w:val="00D04FEB"/>
    <w:rsid w:val="00D0514C"/>
    <w:rsid w:val="00D06816"/>
    <w:rsid w:val="00D07845"/>
    <w:rsid w:val="00D109F3"/>
    <w:rsid w:val="00D10AD2"/>
    <w:rsid w:val="00D11185"/>
    <w:rsid w:val="00D111E1"/>
    <w:rsid w:val="00D11BC4"/>
    <w:rsid w:val="00D132FE"/>
    <w:rsid w:val="00D15471"/>
    <w:rsid w:val="00D15CD5"/>
    <w:rsid w:val="00D16BCD"/>
    <w:rsid w:val="00D16E1F"/>
    <w:rsid w:val="00D170B9"/>
    <w:rsid w:val="00D17459"/>
    <w:rsid w:val="00D1786F"/>
    <w:rsid w:val="00D2010E"/>
    <w:rsid w:val="00D20222"/>
    <w:rsid w:val="00D205BD"/>
    <w:rsid w:val="00D20FB2"/>
    <w:rsid w:val="00D2194E"/>
    <w:rsid w:val="00D21AA7"/>
    <w:rsid w:val="00D21CB8"/>
    <w:rsid w:val="00D22AA1"/>
    <w:rsid w:val="00D2308F"/>
    <w:rsid w:val="00D2431E"/>
    <w:rsid w:val="00D25D6A"/>
    <w:rsid w:val="00D27907"/>
    <w:rsid w:val="00D27AD4"/>
    <w:rsid w:val="00D27E93"/>
    <w:rsid w:val="00D27EE9"/>
    <w:rsid w:val="00D30DA3"/>
    <w:rsid w:val="00D3214E"/>
    <w:rsid w:val="00D32B77"/>
    <w:rsid w:val="00D3351A"/>
    <w:rsid w:val="00D33AAB"/>
    <w:rsid w:val="00D34105"/>
    <w:rsid w:val="00D34A9D"/>
    <w:rsid w:val="00D34ACA"/>
    <w:rsid w:val="00D34AF7"/>
    <w:rsid w:val="00D35797"/>
    <w:rsid w:val="00D357FB"/>
    <w:rsid w:val="00D37B2E"/>
    <w:rsid w:val="00D40AAA"/>
    <w:rsid w:val="00D41864"/>
    <w:rsid w:val="00D41ACF"/>
    <w:rsid w:val="00D41B9B"/>
    <w:rsid w:val="00D4283E"/>
    <w:rsid w:val="00D42891"/>
    <w:rsid w:val="00D42A53"/>
    <w:rsid w:val="00D42DDE"/>
    <w:rsid w:val="00D432A3"/>
    <w:rsid w:val="00D432FC"/>
    <w:rsid w:val="00D44CA4"/>
    <w:rsid w:val="00D45E2D"/>
    <w:rsid w:val="00D4645B"/>
    <w:rsid w:val="00D4779A"/>
    <w:rsid w:val="00D5039E"/>
    <w:rsid w:val="00D50746"/>
    <w:rsid w:val="00D509D9"/>
    <w:rsid w:val="00D512D7"/>
    <w:rsid w:val="00D51B78"/>
    <w:rsid w:val="00D52A81"/>
    <w:rsid w:val="00D535F9"/>
    <w:rsid w:val="00D537B7"/>
    <w:rsid w:val="00D5441B"/>
    <w:rsid w:val="00D561A5"/>
    <w:rsid w:val="00D61CCA"/>
    <w:rsid w:val="00D6256E"/>
    <w:rsid w:val="00D62FE8"/>
    <w:rsid w:val="00D631E7"/>
    <w:rsid w:val="00D63C2D"/>
    <w:rsid w:val="00D63D5A"/>
    <w:rsid w:val="00D64347"/>
    <w:rsid w:val="00D64DC6"/>
    <w:rsid w:val="00D650F0"/>
    <w:rsid w:val="00D656E0"/>
    <w:rsid w:val="00D65D1F"/>
    <w:rsid w:val="00D676D2"/>
    <w:rsid w:val="00D7056C"/>
    <w:rsid w:val="00D71729"/>
    <w:rsid w:val="00D72157"/>
    <w:rsid w:val="00D727C1"/>
    <w:rsid w:val="00D73BD5"/>
    <w:rsid w:val="00D747D4"/>
    <w:rsid w:val="00D74E89"/>
    <w:rsid w:val="00D75A98"/>
    <w:rsid w:val="00D76850"/>
    <w:rsid w:val="00D76CE4"/>
    <w:rsid w:val="00D76D0B"/>
    <w:rsid w:val="00D7721A"/>
    <w:rsid w:val="00D77351"/>
    <w:rsid w:val="00D77D4C"/>
    <w:rsid w:val="00D77EC0"/>
    <w:rsid w:val="00D80117"/>
    <w:rsid w:val="00D80744"/>
    <w:rsid w:val="00D80983"/>
    <w:rsid w:val="00D81146"/>
    <w:rsid w:val="00D81337"/>
    <w:rsid w:val="00D81E10"/>
    <w:rsid w:val="00D82092"/>
    <w:rsid w:val="00D8298F"/>
    <w:rsid w:val="00D83049"/>
    <w:rsid w:val="00D8314B"/>
    <w:rsid w:val="00D83CA7"/>
    <w:rsid w:val="00D84623"/>
    <w:rsid w:val="00D850F2"/>
    <w:rsid w:val="00D85C34"/>
    <w:rsid w:val="00D86005"/>
    <w:rsid w:val="00D86889"/>
    <w:rsid w:val="00D86A05"/>
    <w:rsid w:val="00D86AC7"/>
    <w:rsid w:val="00D87A3A"/>
    <w:rsid w:val="00D87D2F"/>
    <w:rsid w:val="00D90332"/>
    <w:rsid w:val="00D91E17"/>
    <w:rsid w:val="00D92120"/>
    <w:rsid w:val="00D9240F"/>
    <w:rsid w:val="00D934AC"/>
    <w:rsid w:val="00D93726"/>
    <w:rsid w:val="00D939BD"/>
    <w:rsid w:val="00D940D2"/>
    <w:rsid w:val="00D94EBF"/>
    <w:rsid w:val="00D95913"/>
    <w:rsid w:val="00D95CA4"/>
    <w:rsid w:val="00D96ABC"/>
    <w:rsid w:val="00D96F1E"/>
    <w:rsid w:val="00D974C1"/>
    <w:rsid w:val="00D979F3"/>
    <w:rsid w:val="00D97C0C"/>
    <w:rsid w:val="00DA0152"/>
    <w:rsid w:val="00DA0C11"/>
    <w:rsid w:val="00DA122B"/>
    <w:rsid w:val="00DA156B"/>
    <w:rsid w:val="00DA1B0C"/>
    <w:rsid w:val="00DA1B75"/>
    <w:rsid w:val="00DA1B95"/>
    <w:rsid w:val="00DA210E"/>
    <w:rsid w:val="00DA276A"/>
    <w:rsid w:val="00DA3015"/>
    <w:rsid w:val="00DA3A9E"/>
    <w:rsid w:val="00DA3E31"/>
    <w:rsid w:val="00DA4943"/>
    <w:rsid w:val="00DA537D"/>
    <w:rsid w:val="00DA53A0"/>
    <w:rsid w:val="00DA5458"/>
    <w:rsid w:val="00DA54DA"/>
    <w:rsid w:val="00DA6FA6"/>
    <w:rsid w:val="00DA7CD6"/>
    <w:rsid w:val="00DB0203"/>
    <w:rsid w:val="00DB15BF"/>
    <w:rsid w:val="00DB186D"/>
    <w:rsid w:val="00DB2921"/>
    <w:rsid w:val="00DB29F7"/>
    <w:rsid w:val="00DB31B1"/>
    <w:rsid w:val="00DB3D1F"/>
    <w:rsid w:val="00DB3F53"/>
    <w:rsid w:val="00DB4127"/>
    <w:rsid w:val="00DB52E2"/>
    <w:rsid w:val="00DB59E4"/>
    <w:rsid w:val="00DB62F5"/>
    <w:rsid w:val="00DB6633"/>
    <w:rsid w:val="00DB6760"/>
    <w:rsid w:val="00DB7C24"/>
    <w:rsid w:val="00DC03B5"/>
    <w:rsid w:val="00DC055D"/>
    <w:rsid w:val="00DC0899"/>
    <w:rsid w:val="00DC0ABA"/>
    <w:rsid w:val="00DC1464"/>
    <w:rsid w:val="00DC21E7"/>
    <w:rsid w:val="00DC2232"/>
    <w:rsid w:val="00DC2BAB"/>
    <w:rsid w:val="00DC2E64"/>
    <w:rsid w:val="00DC347A"/>
    <w:rsid w:val="00DC3B54"/>
    <w:rsid w:val="00DC3BD6"/>
    <w:rsid w:val="00DC4239"/>
    <w:rsid w:val="00DC4A0D"/>
    <w:rsid w:val="00DC4BA2"/>
    <w:rsid w:val="00DC550D"/>
    <w:rsid w:val="00DC605F"/>
    <w:rsid w:val="00DD0EFB"/>
    <w:rsid w:val="00DD1167"/>
    <w:rsid w:val="00DD204D"/>
    <w:rsid w:val="00DD2127"/>
    <w:rsid w:val="00DD2970"/>
    <w:rsid w:val="00DD30A8"/>
    <w:rsid w:val="00DD3942"/>
    <w:rsid w:val="00DD4E46"/>
    <w:rsid w:val="00DD4F89"/>
    <w:rsid w:val="00DD5086"/>
    <w:rsid w:val="00DD5177"/>
    <w:rsid w:val="00DD616D"/>
    <w:rsid w:val="00DD6DF7"/>
    <w:rsid w:val="00DD72D4"/>
    <w:rsid w:val="00DD799E"/>
    <w:rsid w:val="00DD7E8B"/>
    <w:rsid w:val="00DD7F89"/>
    <w:rsid w:val="00DE041D"/>
    <w:rsid w:val="00DE14C5"/>
    <w:rsid w:val="00DE2BE5"/>
    <w:rsid w:val="00DE4070"/>
    <w:rsid w:val="00DE4086"/>
    <w:rsid w:val="00DE43F8"/>
    <w:rsid w:val="00DE46BC"/>
    <w:rsid w:val="00DE4912"/>
    <w:rsid w:val="00DE4DEA"/>
    <w:rsid w:val="00DE5389"/>
    <w:rsid w:val="00DE54B3"/>
    <w:rsid w:val="00DE5E44"/>
    <w:rsid w:val="00DE6443"/>
    <w:rsid w:val="00DE7D3B"/>
    <w:rsid w:val="00DF11C4"/>
    <w:rsid w:val="00DF16E7"/>
    <w:rsid w:val="00DF1C38"/>
    <w:rsid w:val="00DF1F78"/>
    <w:rsid w:val="00DF20C8"/>
    <w:rsid w:val="00DF2346"/>
    <w:rsid w:val="00DF2703"/>
    <w:rsid w:val="00DF2AB1"/>
    <w:rsid w:val="00DF3254"/>
    <w:rsid w:val="00DF3720"/>
    <w:rsid w:val="00DF427D"/>
    <w:rsid w:val="00DF4B63"/>
    <w:rsid w:val="00DF5940"/>
    <w:rsid w:val="00DF5FCE"/>
    <w:rsid w:val="00DF63A1"/>
    <w:rsid w:val="00DF6D21"/>
    <w:rsid w:val="00DF71F9"/>
    <w:rsid w:val="00DF7419"/>
    <w:rsid w:val="00DF7BBF"/>
    <w:rsid w:val="00DF7E9E"/>
    <w:rsid w:val="00E00028"/>
    <w:rsid w:val="00E002C6"/>
    <w:rsid w:val="00E00B7A"/>
    <w:rsid w:val="00E02498"/>
    <w:rsid w:val="00E024E0"/>
    <w:rsid w:val="00E02A7B"/>
    <w:rsid w:val="00E03104"/>
    <w:rsid w:val="00E0438F"/>
    <w:rsid w:val="00E04851"/>
    <w:rsid w:val="00E052FD"/>
    <w:rsid w:val="00E057B7"/>
    <w:rsid w:val="00E05EC2"/>
    <w:rsid w:val="00E05FC1"/>
    <w:rsid w:val="00E068EE"/>
    <w:rsid w:val="00E069CF"/>
    <w:rsid w:val="00E070FF"/>
    <w:rsid w:val="00E10295"/>
    <w:rsid w:val="00E10768"/>
    <w:rsid w:val="00E10A64"/>
    <w:rsid w:val="00E10E4D"/>
    <w:rsid w:val="00E121F3"/>
    <w:rsid w:val="00E13018"/>
    <w:rsid w:val="00E1340E"/>
    <w:rsid w:val="00E13489"/>
    <w:rsid w:val="00E13EDC"/>
    <w:rsid w:val="00E14689"/>
    <w:rsid w:val="00E14773"/>
    <w:rsid w:val="00E15823"/>
    <w:rsid w:val="00E15FB9"/>
    <w:rsid w:val="00E1654F"/>
    <w:rsid w:val="00E16EBA"/>
    <w:rsid w:val="00E1774A"/>
    <w:rsid w:val="00E17AE6"/>
    <w:rsid w:val="00E204BE"/>
    <w:rsid w:val="00E21B29"/>
    <w:rsid w:val="00E21B71"/>
    <w:rsid w:val="00E22791"/>
    <w:rsid w:val="00E22E6C"/>
    <w:rsid w:val="00E22FB0"/>
    <w:rsid w:val="00E2353B"/>
    <w:rsid w:val="00E23A85"/>
    <w:rsid w:val="00E24364"/>
    <w:rsid w:val="00E24A6A"/>
    <w:rsid w:val="00E24E84"/>
    <w:rsid w:val="00E25006"/>
    <w:rsid w:val="00E25147"/>
    <w:rsid w:val="00E257DB"/>
    <w:rsid w:val="00E27D80"/>
    <w:rsid w:val="00E3234D"/>
    <w:rsid w:val="00E3252D"/>
    <w:rsid w:val="00E32CEF"/>
    <w:rsid w:val="00E33658"/>
    <w:rsid w:val="00E337EE"/>
    <w:rsid w:val="00E3480C"/>
    <w:rsid w:val="00E350C4"/>
    <w:rsid w:val="00E352C3"/>
    <w:rsid w:val="00E362B1"/>
    <w:rsid w:val="00E36873"/>
    <w:rsid w:val="00E36A41"/>
    <w:rsid w:val="00E37FB6"/>
    <w:rsid w:val="00E40954"/>
    <w:rsid w:val="00E40A96"/>
    <w:rsid w:val="00E40DD0"/>
    <w:rsid w:val="00E41A53"/>
    <w:rsid w:val="00E420F3"/>
    <w:rsid w:val="00E432F7"/>
    <w:rsid w:val="00E43A65"/>
    <w:rsid w:val="00E44691"/>
    <w:rsid w:val="00E44B83"/>
    <w:rsid w:val="00E454EC"/>
    <w:rsid w:val="00E45735"/>
    <w:rsid w:val="00E45D5A"/>
    <w:rsid w:val="00E45EC3"/>
    <w:rsid w:val="00E46D39"/>
    <w:rsid w:val="00E46F73"/>
    <w:rsid w:val="00E47053"/>
    <w:rsid w:val="00E47561"/>
    <w:rsid w:val="00E475DF"/>
    <w:rsid w:val="00E478F3"/>
    <w:rsid w:val="00E47BDA"/>
    <w:rsid w:val="00E47C26"/>
    <w:rsid w:val="00E50095"/>
    <w:rsid w:val="00E50210"/>
    <w:rsid w:val="00E502E1"/>
    <w:rsid w:val="00E5086D"/>
    <w:rsid w:val="00E5178A"/>
    <w:rsid w:val="00E51C2C"/>
    <w:rsid w:val="00E51CCA"/>
    <w:rsid w:val="00E5305F"/>
    <w:rsid w:val="00E538DF"/>
    <w:rsid w:val="00E542F3"/>
    <w:rsid w:val="00E54718"/>
    <w:rsid w:val="00E54EC7"/>
    <w:rsid w:val="00E56F4F"/>
    <w:rsid w:val="00E57AB1"/>
    <w:rsid w:val="00E6094A"/>
    <w:rsid w:val="00E60EE7"/>
    <w:rsid w:val="00E61283"/>
    <w:rsid w:val="00E6195C"/>
    <w:rsid w:val="00E61DD3"/>
    <w:rsid w:val="00E62B64"/>
    <w:rsid w:val="00E64373"/>
    <w:rsid w:val="00E65A5D"/>
    <w:rsid w:val="00E66A51"/>
    <w:rsid w:val="00E70983"/>
    <w:rsid w:val="00E70A4A"/>
    <w:rsid w:val="00E71058"/>
    <w:rsid w:val="00E72576"/>
    <w:rsid w:val="00E72B9C"/>
    <w:rsid w:val="00E72CC2"/>
    <w:rsid w:val="00E732C0"/>
    <w:rsid w:val="00E73AEC"/>
    <w:rsid w:val="00E7428F"/>
    <w:rsid w:val="00E742F3"/>
    <w:rsid w:val="00E74C4B"/>
    <w:rsid w:val="00E74EB4"/>
    <w:rsid w:val="00E7569F"/>
    <w:rsid w:val="00E7745E"/>
    <w:rsid w:val="00E7747B"/>
    <w:rsid w:val="00E80173"/>
    <w:rsid w:val="00E80304"/>
    <w:rsid w:val="00E8071F"/>
    <w:rsid w:val="00E80C0D"/>
    <w:rsid w:val="00E80D55"/>
    <w:rsid w:val="00E8116F"/>
    <w:rsid w:val="00E81534"/>
    <w:rsid w:val="00E81915"/>
    <w:rsid w:val="00E81DF5"/>
    <w:rsid w:val="00E81ED3"/>
    <w:rsid w:val="00E81F4D"/>
    <w:rsid w:val="00E82166"/>
    <w:rsid w:val="00E82400"/>
    <w:rsid w:val="00E82576"/>
    <w:rsid w:val="00E82707"/>
    <w:rsid w:val="00E8274A"/>
    <w:rsid w:val="00E83232"/>
    <w:rsid w:val="00E83338"/>
    <w:rsid w:val="00E864EF"/>
    <w:rsid w:val="00E86B1A"/>
    <w:rsid w:val="00E87453"/>
    <w:rsid w:val="00E90FE1"/>
    <w:rsid w:val="00E91D32"/>
    <w:rsid w:val="00E92F10"/>
    <w:rsid w:val="00E93656"/>
    <w:rsid w:val="00E93961"/>
    <w:rsid w:val="00E93F7F"/>
    <w:rsid w:val="00E95E0A"/>
    <w:rsid w:val="00E96920"/>
    <w:rsid w:val="00E96B0B"/>
    <w:rsid w:val="00E9754F"/>
    <w:rsid w:val="00E97737"/>
    <w:rsid w:val="00E97DEF"/>
    <w:rsid w:val="00EA0FC3"/>
    <w:rsid w:val="00EA1B57"/>
    <w:rsid w:val="00EA2289"/>
    <w:rsid w:val="00EA28F8"/>
    <w:rsid w:val="00EA2A66"/>
    <w:rsid w:val="00EA3162"/>
    <w:rsid w:val="00EA393E"/>
    <w:rsid w:val="00EA3A26"/>
    <w:rsid w:val="00EA402A"/>
    <w:rsid w:val="00EA49FE"/>
    <w:rsid w:val="00EA4C5F"/>
    <w:rsid w:val="00EA4F7E"/>
    <w:rsid w:val="00EA51FE"/>
    <w:rsid w:val="00EA5558"/>
    <w:rsid w:val="00EA5790"/>
    <w:rsid w:val="00EA5886"/>
    <w:rsid w:val="00EA6293"/>
    <w:rsid w:val="00EA661E"/>
    <w:rsid w:val="00EA664E"/>
    <w:rsid w:val="00EA676C"/>
    <w:rsid w:val="00EA6898"/>
    <w:rsid w:val="00EA6E60"/>
    <w:rsid w:val="00EA71BD"/>
    <w:rsid w:val="00EA7734"/>
    <w:rsid w:val="00EA7A9E"/>
    <w:rsid w:val="00EA7AEB"/>
    <w:rsid w:val="00EB010A"/>
    <w:rsid w:val="00EB0ECC"/>
    <w:rsid w:val="00EB1348"/>
    <w:rsid w:val="00EB13E3"/>
    <w:rsid w:val="00EB14DB"/>
    <w:rsid w:val="00EB1D2A"/>
    <w:rsid w:val="00EB2B09"/>
    <w:rsid w:val="00EB2B71"/>
    <w:rsid w:val="00EB3D4F"/>
    <w:rsid w:val="00EB3F90"/>
    <w:rsid w:val="00EB43C1"/>
    <w:rsid w:val="00EB46FB"/>
    <w:rsid w:val="00EB5AF1"/>
    <w:rsid w:val="00EB5F45"/>
    <w:rsid w:val="00EB64E3"/>
    <w:rsid w:val="00EB6585"/>
    <w:rsid w:val="00EB7108"/>
    <w:rsid w:val="00EB771D"/>
    <w:rsid w:val="00EB799B"/>
    <w:rsid w:val="00EB7CE1"/>
    <w:rsid w:val="00EB7F7A"/>
    <w:rsid w:val="00EC0976"/>
    <w:rsid w:val="00EC0D62"/>
    <w:rsid w:val="00EC1DEF"/>
    <w:rsid w:val="00EC2C2A"/>
    <w:rsid w:val="00EC342F"/>
    <w:rsid w:val="00EC3BF4"/>
    <w:rsid w:val="00EC40A3"/>
    <w:rsid w:val="00EC51C7"/>
    <w:rsid w:val="00ED0B69"/>
    <w:rsid w:val="00ED0C77"/>
    <w:rsid w:val="00ED18FC"/>
    <w:rsid w:val="00ED1AF6"/>
    <w:rsid w:val="00ED255C"/>
    <w:rsid w:val="00ED270D"/>
    <w:rsid w:val="00ED2CB0"/>
    <w:rsid w:val="00ED3A92"/>
    <w:rsid w:val="00ED3D4D"/>
    <w:rsid w:val="00ED4DB6"/>
    <w:rsid w:val="00ED4E90"/>
    <w:rsid w:val="00ED598D"/>
    <w:rsid w:val="00ED5AB1"/>
    <w:rsid w:val="00ED5E6E"/>
    <w:rsid w:val="00ED61F5"/>
    <w:rsid w:val="00ED6227"/>
    <w:rsid w:val="00ED6248"/>
    <w:rsid w:val="00ED7BEB"/>
    <w:rsid w:val="00EE06EB"/>
    <w:rsid w:val="00EE0BA9"/>
    <w:rsid w:val="00EE0EF8"/>
    <w:rsid w:val="00EE11AB"/>
    <w:rsid w:val="00EE2328"/>
    <w:rsid w:val="00EE2CAC"/>
    <w:rsid w:val="00EE4543"/>
    <w:rsid w:val="00EE6B3C"/>
    <w:rsid w:val="00EE6D9C"/>
    <w:rsid w:val="00EE73CE"/>
    <w:rsid w:val="00EE7474"/>
    <w:rsid w:val="00EE7726"/>
    <w:rsid w:val="00EE79C8"/>
    <w:rsid w:val="00EF0158"/>
    <w:rsid w:val="00EF0D1B"/>
    <w:rsid w:val="00EF15F5"/>
    <w:rsid w:val="00EF25D7"/>
    <w:rsid w:val="00EF27D2"/>
    <w:rsid w:val="00EF2CD3"/>
    <w:rsid w:val="00EF36A9"/>
    <w:rsid w:val="00EF419C"/>
    <w:rsid w:val="00EF50CB"/>
    <w:rsid w:val="00EF572E"/>
    <w:rsid w:val="00EF5837"/>
    <w:rsid w:val="00EF6645"/>
    <w:rsid w:val="00EF7042"/>
    <w:rsid w:val="00EF76BD"/>
    <w:rsid w:val="00EF77A7"/>
    <w:rsid w:val="00F01979"/>
    <w:rsid w:val="00F02041"/>
    <w:rsid w:val="00F02C79"/>
    <w:rsid w:val="00F03612"/>
    <w:rsid w:val="00F039D7"/>
    <w:rsid w:val="00F0456F"/>
    <w:rsid w:val="00F04921"/>
    <w:rsid w:val="00F04E60"/>
    <w:rsid w:val="00F0542C"/>
    <w:rsid w:val="00F05CD4"/>
    <w:rsid w:val="00F05ED1"/>
    <w:rsid w:val="00F06974"/>
    <w:rsid w:val="00F079EA"/>
    <w:rsid w:val="00F07D06"/>
    <w:rsid w:val="00F10783"/>
    <w:rsid w:val="00F11D18"/>
    <w:rsid w:val="00F12445"/>
    <w:rsid w:val="00F137C8"/>
    <w:rsid w:val="00F13BF5"/>
    <w:rsid w:val="00F1474B"/>
    <w:rsid w:val="00F15BE2"/>
    <w:rsid w:val="00F165D6"/>
    <w:rsid w:val="00F17479"/>
    <w:rsid w:val="00F175FC"/>
    <w:rsid w:val="00F177AC"/>
    <w:rsid w:val="00F17A42"/>
    <w:rsid w:val="00F17F2A"/>
    <w:rsid w:val="00F210CD"/>
    <w:rsid w:val="00F21ECC"/>
    <w:rsid w:val="00F2267D"/>
    <w:rsid w:val="00F23DE2"/>
    <w:rsid w:val="00F23ED6"/>
    <w:rsid w:val="00F243EE"/>
    <w:rsid w:val="00F24E96"/>
    <w:rsid w:val="00F24F2C"/>
    <w:rsid w:val="00F25BDC"/>
    <w:rsid w:val="00F2626E"/>
    <w:rsid w:val="00F263A3"/>
    <w:rsid w:val="00F26AB9"/>
    <w:rsid w:val="00F27391"/>
    <w:rsid w:val="00F2742E"/>
    <w:rsid w:val="00F275A3"/>
    <w:rsid w:val="00F300A6"/>
    <w:rsid w:val="00F30417"/>
    <w:rsid w:val="00F305B8"/>
    <w:rsid w:val="00F30D20"/>
    <w:rsid w:val="00F315C6"/>
    <w:rsid w:val="00F31A0D"/>
    <w:rsid w:val="00F31CCA"/>
    <w:rsid w:val="00F3200A"/>
    <w:rsid w:val="00F33E40"/>
    <w:rsid w:val="00F343E7"/>
    <w:rsid w:val="00F34912"/>
    <w:rsid w:val="00F34B97"/>
    <w:rsid w:val="00F34F60"/>
    <w:rsid w:val="00F372C6"/>
    <w:rsid w:val="00F40293"/>
    <w:rsid w:val="00F40A8A"/>
    <w:rsid w:val="00F40E46"/>
    <w:rsid w:val="00F41011"/>
    <w:rsid w:val="00F41297"/>
    <w:rsid w:val="00F421F4"/>
    <w:rsid w:val="00F4227F"/>
    <w:rsid w:val="00F42D2C"/>
    <w:rsid w:val="00F4322C"/>
    <w:rsid w:val="00F433CF"/>
    <w:rsid w:val="00F43735"/>
    <w:rsid w:val="00F437CE"/>
    <w:rsid w:val="00F44F48"/>
    <w:rsid w:val="00F4502F"/>
    <w:rsid w:val="00F459E1"/>
    <w:rsid w:val="00F461FF"/>
    <w:rsid w:val="00F46A4F"/>
    <w:rsid w:val="00F47109"/>
    <w:rsid w:val="00F471F7"/>
    <w:rsid w:val="00F51115"/>
    <w:rsid w:val="00F51DA8"/>
    <w:rsid w:val="00F5254D"/>
    <w:rsid w:val="00F5259E"/>
    <w:rsid w:val="00F52997"/>
    <w:rsid w:val="00F53824"/>
    <w:rsid w:val="00F5389B"/>
    <w:rsid w:val="00F53AD8"/>
    <w:rsid w:val="00F544F2"/>
    <w:rsid w:val="00F554E7"/>
    <w:rsid w:val="00F5585A"/>
    <w:rsid w:val="00F55B6A"/>
    <w:rsid w:val="00F56691"/>
    <w:rsid w:val="00F572ED"/>
    <w:rsid w:val="00F57A55"/>
    <w:rsid w:val="00F57E50"/>
    <w:rsid w:val="00F607F3"/>
    <w:rsid w:val="00F61A50"/>
    <w:rsid w:val="00F62714"/>
    <w:rsid w:val="00F6306A"/>
    <w:rsid w:val="00F636C7"/>
    <w:rsid w:val="00F63A48"/>
    <w:rsid w:val="00F63A7C"/>
    <w:rsid w:val="00F654A3"/>
    <w:rsid w:val="00F658D7"/>
    <w:rsid w:val="00F66273"/>
    <w:rsid w:val="00F665A0"/>
    <w:rsid w:val="00F66B3A"/>
    <w:rsid w:val="00F67B1B"/>
    <w:rsid w:val="00F67B51"/>
    <w:rsid w:val="00F7116B"/>
    <w:rsid w:val="00F72A06"/>
    <w:rsid w:val="00F72C80"/>
    <w:rsid w:val="00F72D44"/>
    <w:rsid w:val="00F7346F"/>
    <w:rsid w:val="00F73538"/>
    <w:rsid w:val="00F752FD"/>
    <w:rsid w:val="00F77057"/>
    <w:rsid w:val="00F770D5"/>
    <w:rsid w:val="00F77823"/>
    <w:rsid w:val="00F8033B"/>
    <w:rsid w:val="00F80A34"/>
    <w:rsid w:val="00F8119E"/>
    <w:rsid w:val="00F81C5D"/>
    <w:rsid w:val="00F830F4"/>
    <w:rsid w:val="00F831DE"/>
    <w:rsid w:val="00F83C40"/>
    <w:rsid w:val="00F845B1"/>
    <w:rsid w:val="00F84865"/>
    <w:rsid w:val="00F85656"/>
    <w:rsid w:val="00F85D05"/>
    <w:rsid w:val="00F87655"/>
    <w:rsid w:val="00F876FF"/>
    <w:rsid w:val="00F911E4"/>
    <w:rsid w:val="00F9122A"/>
    <w:rsid w:val="00F918E1"/>
    <w:rsid w:val="00F92676"/>
    <w:rsid w:val="00F928F5"/>
    <w:rsid w:val="00F92CA5"/>
    <w:rsid w:val="00F9310A"/>
    <w:rsid w:val="00F93AC6"/>
    <w:rsid w:val="00F94705"/>
    <w:rsid w:val="00F949FC"/>
    <w:rsid w:val="00F953BA"/>
    <w:rsid w:val="00F955E6"/>
    <w:rsid w:val="00F95C12"/>
    <w:rsid w:val="00F96235"/>
    <w:rsid w:val="00F96CE6"/>
    <w:rsid w:val="00F975DD"/>
    <w:rsid w:val="00F97CF6"/>
    <w:rsid w:val="00FA016A"/>
    <w:rsid w:val="00FA03FB"/>
    <w:rsid w:val="00FA0680"/>
    <w:rsid w:val="00FA0F40"/>
    <w:rsid w:val="00FA1184"/>
    <w:rsid w:val="00FA11ED"/>
    <w:rsid w:val="00FA137A"/>
    <w:rsid w:val="00FA1818"/>
    <w:rsid w:val="00FA1B78"/>
    <w:rsid w:val="00FA1BF1"/>
    <w:rsid w:val="00FA1EB4"/>
    <w:rsid w:val="00FA23E5"/>
    <w:rsid w:val="00FA2B72"/>
    <w:rsid w:val="00FA31F6"/>
    <w:rsid w:val="00FA3A96"/>
    <w:rsid w:val="00FA418F"/>
    <w:rsid w:val="00FA4323"/>
    <w:rsid w:val="00FA43B2"/>
    <w:rsid w:val="00FA6466"/>
    <w:rsid w:val="00FA73CD"/>
    <w:rsid w:val="00FB01F2"/>
    <w:rsid w:val="00FB0421"/>
    <w:rsid w:val="00FB0DF1"/>
    <w:rsid w:val="00FB2051"/>
    <w:rsid w:val="00FB214E"/>
    <w:rsid w:val="00FB30C1"/>
    <w:rsid w:val="00FB398D"/>
    <w:rsid w:val="00FB3CBF"/>
    <w:rsid w:val="00FB3D25"/>
    <w:rsid w:val="00FB4A67"/>
    <w:rsid w:val="00FB5059"/>
    <w:rsid w:val="00FB5EA8"/>
    <w:rsid w:val="00FB7570"/>
    <w:rsid w:val="00FB7910"/>
    <w:rsid w:val="00FB7C5A"/>
    <w:rsid w:val="00FB7EB3"/>
    <w:rsid w:val="00FB7FAD"/>
    <w:rsid w:val="00FC01C0"/>
    <w:rsid w:val="00FC0DCB"/>
    <w:rsid w:val="00FC1018"/>
    <w:rsid w:val="00FC1833"/>
    <w:rsid w:val="00FC270F"/>
    <w:rsid w:val="00FC29F0"/>
    <w:rsid w:val="00FC2A71"/>
    <w:rsid w:val="00FC3329"/>
    <w:rsid w:val="00FC3686"/>
    <w:rsid w:val="00FC3864"/>
    <w:rsid w:val="00FC3D4A"/>
    <w:rsid w:val="00FC5005"/>
    <w:rsid w:val="00FC5CBA"/>
    <w:rsid w:val="00FC69DE"/>
    <w:rsid w:val="00FC7277"/>
    <w:rsid w:val="00FC7E55"/>
    <w:rsid w:val="00FD0421"/>
    <w:rsid w:val="00FD04F0"/>
    <w:rsid w:val="00FD05BD"/>
    <w:rsid w:val="00FD07A5"/>
    <w:rsid w:val="00FD0ADC"/>
    <w:rsid w:val="00FD14C2"/>
    <w:rsid w:val="00FD1EDB"/>
    <w:rsid w:val="00FD3067"/>
    <w:rsid w:val="00FD32B2"/>
    <w:rsid w:val="00FD38EF"/>
    <w:rsid w:val="00FD46A7"/>
    <w:rsid w:val="00FD46E5"/>
    <w:rsid w:val="00FD47E7"/>
    <w:rsid w:val="00FD4BE2"/>
    <w:rsid w:val="00FD6207"/>
    <w:rsid w:val="00FD64D1"/>
    <w:rsid w:val="00FD650A"/>
    <w:rsid w:val="00FD6A59"/>
    <w:rsid w:val="00FD6AA8"/>
    <w:rsid w:val="00FE009D"/>
    <w:rsid w:val="00FE0807"/>
    <w:rsid w:val="00FE097C"/>
    <w:rsid w:val="00FE0A32"/>
    <w:rsid w:val="00FE20A3"/>
    <w:rsid w:val="00FE2BB2"/>
    <w:rsid w:val="00FE3DEC"/>
    <w:rsid w:val="00FE4069"/>
    <w:rsid w:val="00FE43DE"/>
    <w:rsid w:val="00FE446F"/>
    <w:rsid w:val="00FE470F"/>
    <w:rsid w:val="00FE49A5"/>
    <w:rsid w:val="00FE4ABE"/>
    <w:rsid w:val="00FE7426"/>
    <w:rsid w:val="00FE760A"/>
    <w:rsid w:val="00FF0379"/>
    <w:rsid w:val="00FF1696"/>
    <w:rsid w:val="00FF1924"/>
    <w:rsid w:val="00FF2197"/>
    <w:rsid w:val="00FF224F"/>
    <w:rsid w:val="00FF250D"/>
    <w:rsid w:val="00FF43B7"/>
    <w:rsid w:val="00FF607C"/>
    <w:rsid w:val="00FF6154"/>
    <w:rsid w:val="00FF649E"/>
    <w:rsid w:val="00FF64A6"/>
    <w:rsid w:val="00FF7187"/>
    <w:rsid w:val="0102602B"/>
    <w:rsid w:val="01116B64"/>
    <w:rsid w:val="01265A80"/>
    <w:rsid w:val="0129121C"/>
    <w:rsid w:val="02432C9E"/>
    <w:rsid w:val="02952C98"/>
    <w:rsid w:val="02BD3C65"/>
    <w:rsid w:val="02CD2AC0"/>
    <w:rsid w:val="02D947F3"/>
    <w:rsid w:val="02E03092"/>
    <w:rsid w:val="02E35F81"/>
    <w:rsid w:val="036926F4"/>
    <w:rsid w:val="039B3DC0"/>
    <w:rsid w:val="046C5D08"/>
    <w:rsid w:val="048C1D56"/>
    <w:rsid w:val="04B110CA"/>
    <w:rsid w:val="04C116A4"/>
    <w:rsid w:val="0503739C"/>
    <w:rsid w:val="050F2DCD"/>
    <w:rsid w:val="05643C7D"/>
    <w:rsid w:val="05B26ABA"/>
    <w:rsid w:val="05B87837"/>
    <w:rsid w:val="05E06596"/>
    <w:rsid w:val="05EE5027"/>
    <w:rsid w:val="0617360D"/>
    <w:rsid w:val="06252349"/>
    <w:rsid w:val="06434C17"/>
    <w:rsid w:val="065E5004"/>
    <w:rsid w:val="067702F2"/>
    <w:rsid w:val="06860D69"/>
    <w:rsid w:val="06956CFA"/>
    <w:rsid w:val="06E62988"/>
    <w:rsid w:val="0704538A"/>
    <w:rsid w:val="077C1EDD"/>
    <w:rsid w:val="07A00EA2"/>
    <w:rsid w:val="07B61B4D"/>
    <w:rsid w:val="07E276C6"/>
    <w:rsid w:val="082116B5"/>
    <w:rsid w:val="08AF457F"/>
    <w:rsid w:val="08B8403B"/>
    <w:rsid w:val="08BF66EE"/>
    <w:rsid w:val="08D2351F"/>
    <w:rsid w:val="08FE548A"/>
    <w:rsid w:val="09774F4F"/>
    <w:rsid w:val="09AD4D8C"/>
    <w:rsid w:val="09F92154"/>
    <w:rsid w:val="0A873926"/>
    <w:rsid w:val="0A8A1532"/>
    <w:rsid w:val="0ADD629D"/>
    <w:rsid w:val="0B0739AE"/>
    <w:rsid w:val="0B076FE6"/>
    <w:rsid w:val="0B3B76FF"/>
    <w:rsid w:val="0B913C72"/>
    <w:rsid w:val="0BD07FAD"/>
    <w:rsid w:val="0C7773E7"/>
    <w:rsid w:val="0CA0657B"/>
    <w:rsid w:val="0D077D60"/>
    <w:rsid w:val="0D847FA0"/>
    <w:rsid w:val="0DB76A2E"/>
    <w:rsid w:val="0DFB23BC"/>
    <w:rsid w:val="0E0608F2"/>
    <w:rsid w:val="0E753E5F"/>
    <w:rsid w:val="0E980E82"/>
    <w:rsid w:val="0F27704C"/>
    <w:rsid w:val="0F2B54A7"/>
    <w:rsid w:val="0F7755B3"/>
    <w:rsid w:val="0F9D60DA"/>
    <w:rsid w:val="10464076"/>
    <w:rsid w:val="10A67397"/>
    <w:rsid w:val="10C50B2D"/>
    <w:rsid w:val="10DC0695"/>
    <w:rsid w:val="10F601CB"/>
    <w:rsid w:val="11017395"/>
    <w:rsid w:val="11051AC5"/>
    <w:rsid w:val="12AE0437"/>
    <w:rsid w:val="12B8781C"/>
    <w:rsid w:val="13551834"/>
    <w:rsid w:val="135C07F1"/>
    <w:rsid w:val="13776073"/>
    <w:rsid w:val="13972B5A"/>
    <w:rsid w:val="13D4193C"/>
    <w:rsid w:val="1427632E"/>
    <w:rsid w:val="149630B7"/>
    <w:rsid w:val="14B35A0F"/>
    <w:rsid w:val="15186F83"/>
    <w:rsid w:val="15326FC6"/>
    <w:rsid w:val="15541259"/>
    <w:rsid w:val="159D0CA6"/>
    <w:rsid w:val="15D36D28"/>
    <w:rsid w:val="15ED644F"/>
    <w:rsid w:val="16E44216"/>
    <w:rsid w:val="173C344F"/>
    <w:rsid w:val="17675EAC"/>
    <w:rsid w:val="176E6E70"/>
    <w:rsid w:val="17A11D2C"/>
    <w:rsid w:val="17A74242"/>
    <w:rsid w:val="17D54955"/>
    <w:rsid w:val="18245CD6"/>
    <w:rsid w:val="182A16AD"/>
    <w:rsid w:val="18655DA6"/>
    <w:rsid w:val="187034A0"/>
    <w:rsid w:val="18B769EB"/>
    <w:rsid w:val="18BD66AB"/>
    <w:rsid w:val="198850C8"/>
    <w:rsid w:val="19B94CB9"/>
    <w:rsid w:val="19D10B4E"/>
    <w:rsid w:val="19EF2118"/>
    <w:rsid w:val="1A730E5D"/>
    <w:rsid w:val="1AB61A6B"/>
    <w:rsid w:val="1B0E4B8E"/>
    <w:rsid w:val="1B0F7B95"/>
    <w:rsid w:val="1B3F3963"/>
    <w:rsid w:val="1B64668C"/>
    <w:rsid w:val="1C436EFC"/>
    <w:rsid w:val="1C823FF1"/>
    <w:rsid w:val="1D0D3797"/>
    <w:rsid w:val="1D572627"/>
    <w:rsid w:val="1D7E34B3"/>
    <w:rsid w:val="1D801BA5"/>
    <w:rsid w:val="1D882975"/>
    <w:rsid w:val="1D94646C"/>
    <w:rsid w:val="1DA0292B"/>
    <w:rsid w:val="1E201D74"/>
    <w:rsid w:val="1E753979"/>
    <w:rsid w:val="1F760546"/>
    <w:rsid w:val="1F7D3A2E"/>
    <w:rsid w:val="1FFD40AE"/>
    <w:rsid w:val="201941A9"/>
    <w:rsid w:val="208169C6"/>
    <w:rsid w:val="20854A37"/>
    <w:rsid w:val="20A77CBC"/>
    <w:rsid w:val="20BD77E6"/>
    <w:rsid w:val="21061EEA"/>
    <w:rsid w:val="21312B84"/>
    <w:rsid w:val="220465FB"/>
    <w:rsid w:val="22107FE2"/>
    <w:rsid w:val="22531C3C"/>
    <w:rsid w:val="229D60D3"/>
    <w:rsid w:val="22BB7DC5"/>
    <w:rsid w:val="22BF1DCA"/>
    <w:rsid w:val="22F012C6"/>
    <w:rsid w:val="234B1463"/>
    <w:rsid w:val="23633978"/>
    <w:rsid w:val="23C9727E"/>
    <w:rsid w:val="23EC1B8A"/>
    <w:rsid w:val="25564804"/>
    <w:rsid w:val="25673216"/>
    <w:rsid w:val="257C3116"/>
    <w:rsid w:val="25B51C19"/>
    <w:rsid w:val="265F6022"/>
    <w:rsid w:val="26717942"/>
    <w:rsid w:val="26AA4D87"/>
    <w:rsid w:val="277D31A0"/>
    <w:rsid w:val="279D2336"/>
    <w:rsid w:val="27C6228D"/>
    <w:rsid w:val="2828268A"/>
    <w:rsid w:val="283E4199"/>
    <w:rsid w:val="284D5A10"/>
    <w:rsid w:val="28CE742E"/>
    <w:rsid w:val="29445DAA"/>
    <w:rsid w:val="29826AFB"/>
    <w:rsid w:val="29A8549B"/>
    <w:rsid w:val="29E9108C"/>
    <w:rsid w:val="29EF5E95"/>
    <w:rsid w:val="2B501E3C"/>
    <w:rsid w:val="2BDA702F"/>
    <w:rsid w:val="2D2C665C"/>
    <w:rsid w:val="2D8760C8"/>
    <w:rsid w:val="2D923848"/>
    <w:rsid w:val="2DEB4032"/>
    <w:rsid w:val="2E0D3797"/>
    <w:rsid w:val="2E1A5E69"/>
    <w:rsid w:val="2E1E45FC"/>
    <w:rsid w:val="2E247E6F"/>
    <w:rsid w:val="2F1C4AC9"/>
    <w:rsid w:val="2F4C1087"/>
    <w:rsid w:val="305D6D86"/>
    <w:rsid w:val="30793D22"/>
    <w:rsid w:val="3174668B"/>
    <w:rsid w:val="317943EC"/>
    <w:rsid w:val="329B1427"/>
    <w:rsid w:val="32AB7BA8"/>
    <w:rsid w:val="32BA59B0"/>
    <w:rsid w:val="33117661"/>
    <w:rsid w:val="332B01EC"/>
    <w:rsid w:val="335928B6"/>
    <w:rsid w:val="339B6178"/>
    <w:rsid w:val="33CB33A7"/>
    <w:rsid w:val="33D739A6"/>
    <w:rsid w:val="340237BE"/>
    <w:rsid w:val="342D6907"/>
    <w:rsid w:val="34B918C9"/>
    <w:rsid w:val="34BA0AC7"/>
    <w:rsid w:val="34E37605"/>
    <w:rsid w:val="34FB1228"/>
    <w:rsid w:val="350129DC"/>
    <w:rsid w:val="3512520F"/>
    <w:rsid w:val="357F3AB3"/>
    <w:rsid w:val="35A9394B"/>
    <w:rsid w:val="35C310AB"/>
    <w:rsid w:val="35D84FCA"/>
    <w:rsid w:val="35DC0CC0"/>
    <w:rsid w:val="36260E99"/>
    <w:rsid w:val="36273301"/>
    <w:rsid w:val="36E3584E"/>
    <w:rsid w:val="36E404D4"/>
    <w:rsid w:val="377C5EE4"/>
    <w:rsid w:val="37B10B30"/>
    <w:rsid w:val="37FA5438"/>
    <w:rsid w:val="38152424"/>
    <w:rsid w:val="385767E7"/>
    <w:rsid w:val="38BC267D"/>
    <w:rsid w:val="38CF16B4"/>
    <w:rsid w:val="38E4462C"/>
    <w:rsid w:val="39246AAB"/>
    <w:rsid w:val="39464CAA"/>
    <w:rsid w:val="398F51A0"/>
    <w:rsid w:val="39D62990"/>
    <w:rsid w:val="39E35E03"/>
    <w:rsid w:val="39F71E53"/>
    <w:rsid w:val="39FD6C5A"/>
    <w:rsid w:val="3A200E01"/>
    <w:rsid w:val="3A4B64E0"/>
    <w:rsid w:val="3AD4121A"/>
    <w:rsid w:val="3AD921A3"/>
    <w:rsid w:val="3AEA2451"/>
    <w:rsid w:val="3B431641"/>
    <w:rsid w:val="3B555615"/>
    <w:rsid w:val="3B5849F5"/>
    <w:rsid w:val="3B8B4FF7"/>
    <w:rsid w:val="3BFA660D"/>
    <w:rsid w:val="3C165AAC"/>
    <w:rsid w:val="3C6D2E7A"/>
    <w:rsid w:val="3C9341A9"/>
    <w:rsid w:val="3CB066C8"/>
    <w:rsid w:val="3CB6382B"/>
    <w:rsid w:val="3CF36EE2"/>
    <w:rsid w:val="3D1B778B"/>
    <w:rsid w:val="3D303F3E"/>
    <w:rsid w:val="3D4E6E3B"/>
    <w:rsid w:val="3D732B00"/>
    <w:rsid w:val="3DE54A2A"/>
    <w:rsid w:val="3E5364A2"/>
    <w:rsid w:val="3EC074A0"/>
    <w:rsid w:val="3F967500"/>
    <w:rsid w:val="3FA614F0"/>
    <w:rsid w:val="3FB079E5"/>
    <w:rsid w:val="3FD91A3B"/>
    <w:rsid w:val="4050165D"/>
    <w:rsid w:val="40C1450F"/>
    <w:rsid w:val="40EE55AC"/>
    <w:rsid w:val="41075E1E"/>
    <w:rsid w:val="41330323"/>
    <w:rsid w:val="41527CB8"/>
    <w:rsid w:val="418C4DB5"/>
    <w:rsid w:val="41D914D7"/>
    <w:rsid w:val="428F0470"/>
    <w:rsid w:val="42A11DEA"/>
    <w:rsid w:val="42A83081"/>
    <w:rsid w:val="42F9631B"/>
    <w:rsid w:val="43285787"/>
    <w:rsid w:val="435D3D0D"/>
    <w:rsid w:val="439F5C5F"/>
    <w:rsid w:val="442F3E9C"/>
    <w:rsid w:val="44B40B96"/>
    <w:rsid w:val="4566289F"/>
    <w:rsid w:val="461F5B18"/>
    <w:rsid w:val="4632434B"/>
    <w:rsid w:val="463B54AA"/>
    <w:rsid w:val="465F2BF5"/>
    <w:rsid w:val="46850CD5"/>
    <w:rsid w:val="468A505B"/>
    <w:rsid w:val="46D634CC"/>
    <w:rsid w:val="47077C3A"/>
    <w:rsid w:val="47252808"/>
    <w:rsid w:val="474E434C"/>
    <w:rsid w:val="47661A37"/>
    <w:rsid w:val="47E544E0"/>
    <w:rsid w:val="481749CD"/>
    <w:rsid w:val="48276F15"/>
    <w:rsid w:val="48292F6A"/>
    <w:rsid w:val="483E0184"/>
    <w:rsid w:val="496F2B72"/>
    <w:rsid w:val="49777396"/>
    <w:rsid w:val="4A571334"/>
    <w:rsid w:val="4AFB597A"/>
    <w:rsid w:val="4B5A08B8"/>
    <w:rsid w:val="4C877A38"/>
    <w:rsid w:val="4D655E44"/>
    <w:rsid w:val="4D807B47"/>
    <w:rsid w:val="4D850899"/>
    <w:rsid w:val="4E0D0385"/>
    <w:rsid w:val="4F110526"/>
    <w:rsid w:val="4F2F042A"/>
    <w:rsid w:val="4F6213E6"/>
    <w:rsid w:val="4FA66816"/>
    <w:rsid w:val="4FBC57F7"/>
    <w:rsid w:val="4FFF4B5C"/>
    <w:rsid w:val="501F6A66"/>
    <w:rsid w:val="508A7E36"/>
    <w:rsid w:val="5212228F"/>
    <w:rsid w:val="523505EB"/>
    <w:rsid w:val="52351803"/>
    <w:rsid w:val="52496B16"/>
    <w:rsid w:val="52540253"/>
    <w:rsid w:val="525E37CF"/>
    <w:rsid w:val="52773366"/>
    <w:rsid w:val="527C0F01"/>
    <w:rsid w:val="527D0387"/>
    <w:rsid w:val="534F0014"/>
    <w:rsid w:val="53772412"/>
    <w:rsid w:val="53C80455"/>
    <w:rsid w:val="53DE7254"/>
    <w:rsid w:val="540D1BFD"/>
    <w:rsid w:val="54606E88"/>
    <w:rsid w:val="54987446"/>
    <w:rsid w:val="55B202CF"/>
    <w:rsid w:val="5688283F"/>
    <w:rsid w:val="569A0671"/>
    <w:rsid w:val="57307497"/>
    <w:rsid w:val="573716B0"/>
    <w:rsid w:val="578A73C2"/>
    <w:rsid w:val="580346CF"/>
    <w:rsid w:val="58644CAA"/>
    <w:rsid w:val="588826FB"/>
    <w:rsid w:val="59761C11"/>
    <w:rsid w:val="599657B6"/>
    <w:rsid w:val="59B50918"/>
    <w:rsid w:val="59CC2B8B"/>
    <w:rsid w:val="5A0D67E9"/>
    <w:rsid w:val="5A4C2F9B"/>
    <w:rsid w:val="5A4D4497"/>
    <w:rsid w:val="5AA25ECE"/>
    <w:rsid w:val="5AB3340F"/>
    <w:rsid w:val="5AB33DD9"/>
    <w:rsid w:val="5AF71FD1"/>
    <w:rsid w:val="5B213BA2"/>
    <w:rsid w:val="5C7611A2"/>
    <w:rsid w:val="5D2433DA"/>
    <w:rsid w:val="5D877113"/>
    <w:rsid w:val="5DF05E58"/>
    <w:rsid w:val="5E430E8D"/>
    <w:rsid w:val="5E4A6D9B"/>
    <w:rsid w:val="5E621EE5"/>
    <w:rsid w:val="5EEB7F55"/>
    <w:rsid w:val="5F2810BA"/>
    <w:rsid w:val="5F40313E"/>
    <w:rsid w:val="5F4E11E7"/>
    <w:rsid w:val="5FB86CC6"/>
    <w:rsid w:val="5FC817F4"/>
    <w:rsid w:val="60516B69"/>
    <w:rsid w:val="6118011C"/>
    <w:rsid w:val="612D7D44"/>
    <w:rsid w:val="6161384B"/>
    <w:rsid w:val="62BC7D03"/>
    <w:rsid w:val="63D052D6"/>
    <w:rsid w:val="63DE3321"/>
    <w:rsid w:val="64557232"/>
    <w:rsid w:val="648162C5"/>
    <w:rsid w:val="64BA6F50"/>
    <w:rsid w:val="64D62097"/>
    <w:rsid w:val="659A0C96"/>
    <w:rsid w:val="66604CE2"/>
    <w:rsid w:val="66AB0269"/>
    <w:rsid w:val="670F3CD5"/>
    <w:rsid w:val="673A45B1"/>
    <w:rsid w:val="673F09D8"/>
    <w:rsid w:val="676628B7"/>
    <w:rsid w:val="67A50D72"/>
    <w:rsid w:val="67A926EC"/>
    <w:rsid w:val="6811690F"/>
    <w:rsid w:val="685430BE"/>
    <w:rsid w:val="68627A29"/>
    <w:rsid w:val="6945004C"/>
    <w:rsid w:val="695813AD"/>
    <w:rsid w:val="69621CBF"/>
    <w:rsid w:val="698170F9"/>
    <w:rsid w:val="69AF4CAC"/>
    <w:rsid w:val="69D478AD"/>
    <w:rsid w:val="69E971D3"/>
    <w:rsid w:val="6AD3151E"/>
    <w:rsid w:val="6AF308E5"/>
    <w:rsid w:val="6B257368"/>
    <w:rsid w:val="6B3C546A"/>
    <w:rsid w:val="6B402272"/>
    <w:rsid w:val="6B5604BC"/>
    <w:rsid w:val="6B576E94"/>
    <w:rsid w:val="6B6017F6"/>
    <w:rsid w:val="6C0C2E2F"/>
    <w:rsid w:val="6C5A0B40"/>
    <w:rsid w:val="6CB04F68"/>
    <w:rsid w:val="6D3D4738"/>
    <w:rsid w:val="6D4F3EF8"/>
    <w:rsid w:val="6DD10C9A"/>
    <w:rsid w:val="6E4604ED"/>
    <w:rsid w:val="6E4E6114"/>
    <w:rsid w:val="6ED63126"/>
    <w:rsid w:val="6FBC1648"/>
    <w:rsid w:val="6FD033CF"/>
    <w:rsid w:val="7018193B"/>
    <w:rsid w:val="703B5D76"/>
    <w:rsid w:val="7070659A"/>
    <w:rsid w:val="70AB2CAF"/>
    <w:rsid w:val="70AD5EF7"/>
    <w:rsid w:val="711D4F59"/>
    <w:rsid w:val="7138294D"/>
    <w:rsid w:val="716B22B5"/>
    <w:rsid w:val="71850635"/>
    <w:rsid w:val="727235DC"/>
    <w:rsid w:val="731051BD"/>
    <w:rsid w:val="732A2973"/>
    <w:rsid w:val="73B33112"/>
    <w:rsid w:val="73C2667B"/>
    <w:rsid w:val="74733755"/>
    <w:rsid w:val="74971D5E"/>
    <w:rsid w:val="74A06C88"/>
    <w:rsid w:val="74A15540"/>
    <w:rsid w:val="74D925CD"/>
    <w:rsid w:val="75340253"/>
    <w:rsid w:val="7543457E"/>
    <w:rsid w:val="75AA7E2F"/>
    <w:rsid w:val="75CE6D79"/>
    <w:rsid w:val="762150E2"/>
    <w:rsid w:val="763B176E"/>
    <w:rsid w:val="767822DC"/>
    <w:rsid w:val="76DA34CA"/>
    <w:rsid w:val="76EC3441"/>
    <w:rsid w:val="77A26469"/>
    <w:rsid w:val="77A6502C"/>
    <w:rsid w:val="77C80CCE"/>
    <w:rsid w:val="77D55488"/>
    <w:rsid w:val="78906FB3"/>
    <w:rsid w:val="78E770CF"/>
    <w:rsid w:val="79A30DF0"/>
    <w:rsid w:val="79A87DA7"/>
    <w:rsid w:val="79CA6405"/>
    <w:rsid w:val="7A2844A8"/>
    <w:rsid w:val="7A494BE5"/>
    <w:rsid w:val="7AA030B3"/>
    <w:rsid w:val="7B4924AA"/>
    <w:rsid w:val="7BA178A2"/>
    <w:rsid w:val="7BA314D5"/>
    <w:rsid w:val="7BEE6936"/>
    <w:rsid w:val="7C4134DC"/>
    <w:rsid w:val="7C7134C0"/>
    <w:rsid w:val="7C83445C"/>
    <w:rsid w:val="7D367AE9"/>
    <w:rsid w:val="7D8062CD"/>
    <w:rsid w:val="7D832CB7"/>
    <w:rsid w:val="7DC63DD0"/>
    <w:rsid w:val="7DCA7275"/>
    <w:rsid w:val="7DF06565"/>
    <w:rsid w:val="7E35688A"/>
    <w:rsid w:val="7E495F73"/>
    <w:rsid w:val="7F7711A2"/>
    <w:rsid w:val="7F7C66B5"/>
    <w:rsid w:val="7F7F3CAE"/>
    <w:rsid w:val="7FA07532"/>
    <w:rsid w:val="7FB02F06"/>
    <w:rsid w:val="7FC403A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6EB02EE"/>
  <w15:docId w15:val="{24CF9644-0A9D-429D-A542-2B1FED9C7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qFormat="1"/>
    <w:lsdException w:name="heading 3" w:locked="1" w:semiHidden="1" w:uiPriority="0" w:unhideWhenUsed="1" w:qFormat="1"/>
    <w:lsdException w:name="heading 4" w:locked="1" w:uiPriority="9"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Calibri" w:hAnsi="Calibri"/>
      <w:kern w:val="2"/>
      <w:sz w:val="21"/>
      <w:szCs w:val="22"/>
    </w:rPr>
  </w:style>
  <w:style w:type="paragraph" w:styleId="1">
    <w:name w:val="heading 1"/>
    <w:basedOn w:val="a0"/>
    <w:next w:val="a0"/>
    <w:link w:val="10"/>
    <w:qFormat/>
    <w:locked/>
    <w:pPr>
      <w:keepNext/>
      <w:keepLines/>
      <w:spacing w:before="340" w:after="330" w:line="578" w:lineRule="auto"/>
      <w:outlineLvl w:val="0"/>
    </w:pPr>
    <w:rPr>
      <w:b/>
      <w:bCs/>
      <w:kern w:val="44"/>
      <w:sz w:val="44"/>
      <w:szCs w:val="44"/>
    </w:rPr>
  </w:style>
  <w:style w:type="paragraph" w:styleId="2">
    <w:name w:val="heading 2"/>
    <w:basedOn w:val="a0"/>
    <w:next w:val="a0"/>
    <w:link w:val="20"/>
    <w:uiPriority w:val="99"/>
    <w:qFormat/>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0"/>
    <w:next w:val="a0"/>
    <w:link w:val="40"/>
    <w:uiPriority w:val="9"/>
    <w:unhideWhenUsed/>
    <w:qFormat/>
    <w:locked/>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Document Map"/>
    <w:basedOn w:val="a0"/>
    <w:link w:val="a5"/>
    <w:uiPriority w:val="99"/>
    <w:semiHidden/>
    <w:qFormat/>
    <w:rPr>
      <w:rFonts w:ascii="宋体"/>
      <w:sz w:val="18"/>
      <w:szCs w:val="18"/>
    </w:rPr>
  </w:style>
  <w:style w:type="paragraph" w:styleId="a6">
    <w:name w:val="annotation text"/>
    <w:basedOn w:val="a0"/>
    <w:link w:val="a7"/>
    <w:uiPriority w:val="99"/>
    <w:qFormat/>
    <w:pPr>
      <w:jc w:val="left"/>
    </w:pPr>
    <w:rPr>
      <w:rFonts w:ascii="Times New Roman" w:hAnsi="Times New Roman"/>
      <w:szCs w:val="28"/>
    </w:rPr>
  </w:style>
  <w:style w:type="paragraph" w:styleId="a8">
    <w:name w:val="Body Text"/>
    <w:basedOn w:val="a0"/>
    <w:link w:val="a9"/>
    <w:uiPriority w:val="99"/>
    <w:semiHidden/>
    <w:qFormat/>
    <w:pPr>
      <w:spacing w:after="120"/>
    </w:pPr>
    <w:rPr>
      <w:rFonts w:ascii="Times New Roman" w:hAnsi="Times New Roman"/>
      <w:szCs w:val="28"/>
    </w:rPr>
  </w:style>
  <w:style w:type="paragraph" w:styleId="aa">
    <w:name w:val="Body Text Indent"/>
    <w:basedOn w:val="a0"/>
    <w:link w:val="ab"/>
    <w:uiPriority w:val="99"/>
    <w:qFormat/>
    <w:pPr>
      <w:spacing w:after="120"/>
      <w:ind w:leftChars="200" w:left="420"/>
    </w:pPr>
    <w:rPr>
      <w:rFonts w:ascii="Times New Roman" w:hAnsi="Times New Roman"/>
      <w:szCs w:val="28"/>
    </w:rPr>
  </w:style>
  <w:style w:type="paragraph" w:styleId="ac">
    <w:name w:val="Balloon Text"/>
    <w:basedOn w:val="a0"/>
    <w:link w:val="ad"/>
    <w:uiPriority w:val="99"/>
    <w:qFormat/>
    <w:rPr>
      <w:rFonts w:ascii="Times New Roman" w:hAnsi="Times New Roman"/>
      <w:sz w:val="18"/>
      <w:szCs w:val="18"/>
    </w:rPr>
  </w:style>
  <w:style w:type="paragraph" w:styleId="ae">
    <w:name w:val="footer"/>
    <w:basedOn w:val="a0"/>
    <w:link w:val="af"/>
    <w:uiPriority w:val="99"/>
    <w:qFormat/>
    <w:pPr>
      <w:tabs>
        <w:tab w:val="center" w:pos="4153"/>
        <w:tab w:val="right" w:pos="8306"/>
      </w:tabs>
      <w:snapToGrid w:val="0"/>
      <w:jc w:val="left"/>
    </w:pPr>
    <w:rPr>
      <w:sz w:val="18"/>
      <w:szCs w:val="18"/>
    </w:rPr>
  </w:style>
  <w:style w:type="paragraph" w:styleId="af0">
    <w:name w:val="header"/>
    <w:basedOn w:val="a0"/>
    <w:link w:val="af1"/>
    <w:uiPriority w:val="99"/>
    <w:qFormat/>
    <w:pPr>
      <w:pBdr>
        <w:bottom w:val="single" w:sz="6" w:space="1" w:color="auto"/>
      </w:pBdr>
      <w:tabs>
        <w:tab w:val="center" w:pos="4153"/>
        <w:tab w:val="right" w:pos="8306"/>
      </w:tabs>
      <w:snapToGrid w:val="0"/>
      <w:jc w:val="center"/>
    </w:pPr>
    <w:rPr>
      <w:sz w:val="18"/>
      <w:szCs w:val="18"/>
    </w:rPr>
  </w:style>
  <w:style w:type="paragraph" w:styleId="af2">
    <w:name w:val="footnote text"/>
    <w:basedOn w:val="a0"/>
    <w:link w:val="af3"/>
    <w:uiPriority w:val="99"/>
    <w:semiHidden/>
    <w:qFormat/>
    <w:pPr>
      <w:snapToGrid w:val="0"/>
      <w:jc w:val="left"/>
    </w:pPr>
    <w:rPr>
      <w:sz w:val="18"/>
      <w:szCs w:val="18"/>
    </w:rPr>
  </w:style>
  <w:style w:type="paragraph" w:styleId="af4">
    <w:name w:val="Normal (Web)"/>
    <w:basedOn w:val="a0"/>
    <w:uiPriority w:val="99"/>
    <w:qFormat/>
    <w:pPr>
      <w:spacing w:before="100" w:beforeAutospacing="1" w:after="100" w:afterAutospacing="1"/>
      <w:jc w:val="left"/>
    </w:pPr>
    <w:rPr>
      <w:rFonts w:ascii="Times New Roman" w:hAnsi="Times New Roman"/>
      <w:kern w:val="0"/>
      <w:sz w:val="24"/>
      <w:szCs w:val="20"/>
    </w:rPr>
  </w:style>
  <w:style w:type="paragraph" w:styleId="af5">
    <w:name w:val="Title"/>
    <w:basedOn w:val="a0"/>
    <w:next w:val="a0"/>
    <w:link w:val="af6"/>
    <w:qFormat/>
    <w:locked/>
    <w:pPr>
      <w:spacing w:before="240" w:after="60"/>
      <w:jc w:val="center"/>
      <w:outlineLvl w:val="0"/>
    </w:pPr>
    <w:rPr>
      <w:rFonts w:asciiTheme="majorHAnsi" w:eastAsiaTheme="majorEastAsia" w:hAnsiTheme="majorHAnsi" w:cstheme="majorBidi"/>
      <w:b/>
      <w:bCs/>
      <w:sz w:val="32"/>
      <w:szCs w:val="32"/>
    </w:rPr>
  </w:style>
  <w:style w:type="paragraph" w:styleId="af7">
    <w:name w:val="annotation subject"/>
    <w:basedOn w:val="a6"/>
    <w:next w:val="a6"/>
    <w:link w:val="af8"/>
    <w:uiPriority w:val="99"/>
    <w:qFormat/>
    <w:rPr>
      <w:b/>
      <w:bCs/>
    </w:rPr>
  </w:style>
  <w:style w:type="table" w:styleId="af9">
    <w:name w:val="Table Grid"/>
    <w:basedOn w:val="a2"/>
    <w:uiPriority w:val="39"/>
    <w:qFormat/>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Emphasis"/>
    <w:basedOn w:val="a1"/>
    <w:uiPriority w:val="20"/>
    <w:qFormat/>
    <w:locked/>
    <w:rPr>
      <w:i/>
    </w:rPr>
  </w:style>
  <w:style w:type="character" w:styleId="afb">
    <w:name w:val="line number"/>
    <w:uiPriority w:val="99"/>
    <w:qFormat/>
    <w:rPr>
      <w:rFonts w:cs="Times New Roman"/>
    </w:rPr>
  </w:style>
  <w:style w:type="character" w:styleId="afc">
    <w:name w:val="annotation reference"/>
    <w:uiPriority w:val="99"/>
    <w:qFormat/>
    <w:rPr>
      <w:rFonts w:cs="Times New Roman"/>
      <w:sz w:val="21"/>
    </w:rPr>
  </w:style>
  <w:style w:type="character" w:customStyle="1" w:styleId="20">
    <w:name w:val="标题 2 字符"/>
    <w:link w:val="2"/>
    <w:uiPriority w:val="99"/>
    <w:qFormat/>
    <w:locked/>
    <w:rPr>
      <w:rFonts w:ascii="宋体" w:eastAsia="宋体" w:hAnsi="宋体" w:cs="宋体"/>
      <w:b/>
      <w:bCs/>
      <w:kern w:val="0"/>
      <w:sz w:val="36"/>
      <w:szCs w:val="36"/>
    </w:rPr>
  </w:style>
  <w:style w:type="character" w:customStyle="1" w:styleId="af1">
    <w:name w:val="页眉 字符"/>
    <w:link w:val="af0"/>
    <w:uiPriority w:val="99"/>
    <w:qFormat/>
    <w:locked/>
    <w:rPr>
      <w:rFonts w:cs="Times New Roman"/>
      <w:sz w:val="18"/>
      <w:szCs w:val="18"/>
    </w:rPr>
  </w:style>
  <w:style w:type="character" w:customStyle="1" w:styleId="af">
    <w:name w:val="页脚 字符"/>
    <w:link w:val="ae"/>
    <w:uiPriority w:val="99"/>
    <w:qFormat/>
    <w:locked/>
    <w:rPr>
      <w:rFonts w:cs="Times New Roman"/>
      <w:sz w:val="18"/>
      <w:szCs w:val="18"/>
    </w:rPr>
  </w:style>
  <w:style w:type="character" w:customStyle="1" w:styleId="a7">
    <w:name w:val="批注文字 字符"/>
    <w:link w:val="a6"/>
    <w:uiPriority w:val="99"/>
    <w:qFormat/>
    <w:locked/>
    <w:rPr>
      <w:rFonts w:ascii="Times New Roman" w:eastAsia="宋体" w:hAnsi="Times New Roman" w:cs="Times New Roman"/>
      <w:sz w:val="28"/>
      <w:szCs w:val="28"/>
    </w:rPr>
  </w:style>
  <w:style w:type="character" w:customStyle="1" w:styleId="af8">
    <w:name w:val="批注主题 字符"/>
    <w:link w:val="af7"/>
    <w:uiPriority w:val="99"/>
    <w:qFormat/>
    <w:locked/>
    <w:rPr>
      <w:rFonts w:ascii="Times New Roman" w:eastAsia="宋体" w:hAnsi="Times New Roman" w:cs="Times New Roman"/>
      <w:b/>
      <w:bCs/>
      <w:sz w:val="28"/>
      <w:szCs w:val="28"/>
    </w:rPr>
  </w:style>
  <w:style w:type="character" w:customStyle="1" w:styleId="ab">
    <w:name w:val="正文文本缩进 字符"/>
    <w:link w:val="aa"/>
    <w:uiPriority w:val="99"/>
    <w:qFormat/>
    <w:locked/>
    <w:rPr>
      <w:rFonts w:ascii="Times New Roman" w:eastAsia="宋体" w:hAnsi="Times New Roman" w:cs="Times New Roman"/>
      <w:sz w:val="28"/>
      <w:szCs w:val="28"/>
    </w:rPr>
  </w:style>
  <w:style w:type="character" w:customStyle="1" w:styleId="ad">
    <w:name w:val="批注框文本 字符"/>
    <w:link w:val="ac"/>
    <w:uiPriority w:val="99"/>
    <w:qFormat/>
    <w:locked/>
    <w:rPr>
      <w:rFonts w:ascii="Times New Roman" w:eastAsia="宋体" w:hAnsi="Times New Roman" w:cs="Times New Roman"/>
      <w:sz w:val="18"/>
      <w:szCs w:val="18"/>
    </w:rPr>
  </w:style>
  <w:style w:type="paragraph" w:customStyle="1" w:styleId="my">
    <w:name w:val="my_段落"/>
    <w:basedOn w:val="a0"/>
    <w:link w:val="myChar"/>
    <w:uiPriority w:val="99"/>
    <w:qFormat/>
    <w:pPr>
      <w:spacing w:afterLines="30" w:line="480" w:lineRule="exact"/>
      <w:ind w:firstLineChars="200" w:firstLine="600"/>
    </w:pPr>
    <w:rPr>
      <w:rFonts w:ascii="Century" w:eastAsia="楷体_GB2312" w:hAnsi="Century"/>
      <w:spacing w:val="10"/>
      <w:kern w:val="0"/>
      <w:sz w:val="28"/>
      <w:szCs w:val="28"/>
    </w:rPr>
  </w:style>
  <w:style w:type="paragraph" w:customStyle="1" w:styleId="Char">
    <w:name w:val="申请文件_段落 Char"/>
    <w:link w:val="CharChar"/>
    <w:uiPriority w:val="99"/>
    <w:qFormat/>
    <w:pPr>
      <w:widowControl w:val="0"/>
      <w:autoSpaceDE w:val="0"/>
      <w:autoSpaceDN w:val="0"/>
      <w:spacing w:line="520" w:lineRule="exact"/>
      <w:ind w:firstLineChars="200" w:firstLine="200"/>
      <w:jc w:val="both"/>
    </w:pPr>
    <w:rPr>
      <w:rFonts w:ascii="Century" w:eastAsia="楷体_GB2312" w:hAnsi="Century"/>
      <w:spacing w:val="20"/>
      <w:sz w:val="30"/>
      <w:szCs w:val="30"/>
    </w:rPr>
  </w:style>
  <w:style w:type="paragraph" w:customStyle="1" w:styleId="afd">
    <w:name w:val="申请文件_发明名称"/>
    <w:basedOn w:val="a0"/>
    <w:uiPriority w:val="99"/>
    <w:qFormat/>
    <w:pPr>
      <w:spacing w:line="520" w:lineRule="exact"/>
      <w:jc w:val="center"/>
    </w:pPr>
    <w:rPr>
      <w:rFonts w:ascii="Century" w:eastAsia="楷体_GB2312" w:hAnsi="Century"/>
      <w:b/>
      <w:bCs/>
      <w:color w:val="000000"/>
      <w:spacing w:val="26"/>
      <w:sz w:val="30"/>
      <w:szCs w:val="30"/>
    </w:rPr>
  </w:style>
  <w:style w:type="paragraph" w:customStyle="1" w:styleId="afe">
    <w:name w:val="申请文件_标题"/>
    <w:uiPriority w:val="99"/>
    <w:qFormat/>
    <w:pPr>
      <w:spacing w:line="520" w:lineRule="exact"/>
    </w:pPr>
    <w:rPr>
      <w:rFonts w:ascii="Century" w:eastAsia="楷体_GB2312" w:hAnsi="Century" w:cs="Courier New"/>
      <w:b/>
      <w:color w:val="000000"/>
      <w:spacing w:val="28"/>
      <w:kern w:val="2"/>
      <w:sz w:val="30"/>
      <w:szCs w:val="30"/>
    </w:rPr>
  </w:style>
  <w:style w:type="paragraph" w:customStyle="1" w:styleId="a">
    <w:name w:val="申请文件_段落_说明书"/>
    <w:basedOn w:val="Char"/>
    <w:uiPriority w:val="99"/>
    <w:qFormat/>
    <w:pPr>
      <w:numPr>
        <w:numId w:val="1"/>
      </w:numPr>
      <w:ind w:firstLineChars="0" w:firstLine="0"/>
    </w:pPr>
  </w:style>
  <w:style w:type="character" w:customStyle="1" w:styleId="CharChar">
    <w:name w:val="申请文件_段落 Char Char"/>
    <w:link w:val="Char"/>
    <w:uiPriority w:val="99"/>
    <w:qFormat/>
    <w:locked/>
    <w:rPr>
      <w:rFonts w:ascii="Century" w:eastAsia="楷体_GB2312" w:hAnsi="Century"/>
      <w:spacing w:val="20"/>
      <w:sz w:val="30"/>
    </w:rPr>
  </w:style>
  <w:style w:type="character" w:customStyle="1" w:styleId="CharChar1">
    <w:name w:val="申请文件_段落 Char Char1"/>
    <w:uiPriority w:val="99"/>
    <w:qFormat/>
    <w:rPr>
      <w:rFonts w:ascii="Century" w:eastAsia="楷体_GB2312" w:hAnsi="Century"/>
      <w:spacing w:val="20"/>
      <w:kern w:val="2"/>
      <w:sz w:val="30"/>
      <w:lang w:val="en-US" w:eastAsia="zh-CN"/>
    </w:rPr>
  </w:style>
  <w:style w:type="paragraph" w:customStyle="1" w:styleId="aff">
    <w:name w:val="申请文件_段落"/>
    <w:uiPriority w:val="99"/>
    <w:qFormat/>
    <w:pPr>
      <w:widowControl w:val="0"/>
      <w:autoSpaceDE w:val="0"/>
      <w:autoSpaceDN w:val="0"/>
      <w:spacing w:line="520" w:lineRule="exact"/>
      <w:ind w:firstLineChars="200" w:firstLine="200"/>
      <w:jc w:val="both"/>
    </w:pPr>
    <w:rPr>
      <w:rFonts w:ascii="Century" w:eastAsia="楷体_GB2312" w:hAnsi="Century"/>
      <w:spacing w:val="20"/>
      <w:kern w:val="2"/>
      <w:sz w:val="30"/>
      <w:szCs w:val="30"/>
    </w:rPr>
  </w:style>
  <w:style w:type="character" w:customStyle="1" w:styleId="myChar">
    <w:name w:val="my_段落 Char"/>
    <w:link w:val="my"/>
    <w:uiPriority w:val="99"/>
    <w:qFormat/>
    <w:locked/>
    <w:rPr>
      <w:rFonts w:ascii="Century" w:eastAsia="楷体_GB2312" w:hAnsi="Century"/>
      <w:spacing w:val="10"/>
      <w:sz w:val="28"/>
    </w:rPr>
  </w:style>
  <w:style w:type="character" w:customStyle="1" w:styleId="Char1">
    <w:name w:val="批注框文本 Char1"/>
    <w:uiPriority w:val="99"/>
    <w:qFormat/>
    <w:rPr>
      <w:kern w:val="2"/>
      <w:sz w:val="18"/>
    </w:rPr>
  </w:style>
  <w:style w:type="table" w:customStyle="1" w:styleId="11">
    <w:name w:val="网格型1"/>
    <w:uiPriority w:val="99"/>
    <w:qFormat/>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修订1"/>
    <w:hidden/>
    <w:uiPriority w:val="99"/>
    <w:semiHidden/>
    <w:qFormat/>
    <w:rPr>
      <w:kern w:val="2"/>
      <w:sz w:val="21"/>
      <w:szCs w:val="28"/>
    </w:rPr>
  </w:style>
  <w:style w:type="table" w:customStyle="1" w:styleId="21">
    <w:name w:val="网格型2"/>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网格型3"/>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网格型4"/>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
    <w:name w:val="网格型5"/>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
    <w:name w:val="网格型6"/>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
    <w:name w:val="网格型7"/>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
    <w:name w:val="网格型8"/>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
    <w:name w:val="网格型9"/>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网格型10"/>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
    <w:name w:val="网格型1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0">
    <w:name w:val="List Paragraph"/>
    <w:basedOn w:val="a0"/>
    <w:uiPriority w:val="34"/>
    <w:qFormat/>
    <w:pPr>
      <w:ind w:firstLineChars="200" w:firstLine="420"/>
    </w:pPr>
    <w:rPr>
      <w:rFonts w:ascii="Times New Roman" w:hAnsi="Times New Roman"/>
      <w:sz w:val="24"/>
      <w:szCs w:val="24"/>
    </w:rPr>
  </w:style>
  <w:style w:type="character" w:customStyle="1" w:styleId="fontstyle01">
    <w:name w:val="fontstyle01"/>
    <w:qFormat/>
    <w:rPr>
      <w:rFonts w:ascii="宋体" w:eastAsia="宋体" w:hAnsi="宋体" w:cs="Times New Roman"/>
      <w:color w:val="000000"/>
      <w:sz w:val="24"/>
      <w:szCs w:val="24"/>
    </w:rPr>
  </w:style>
  <w:style w:type="table" w:customStyle="1" w:styleId="120">
    <w:name w:val="网格型12"/>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网格型13"/>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正文文本 字符"/>
    <w:link w:val="a8"/>
    <w:uiPriority w:val="99"/>
    <w:semiHidden/>
    <w:qFormat/>
    <w:locked/>
    <w:rPr>
      <w:rFonts w:ascii="Times New Roman" w:eastAsia="宋体" w:hAnsi="Times New Roman" w:cs="Times New Roman"/>
      <w:sz w:val="28"/>
      <w:szCs w:val="28"/>
    </w:rPr>
  </w:style>
  <w:style w:type="paragraph" w:customStyle="1" w:styleId="111">
    <w:name w:val="标题 11"/>
    <w:basedOn w:val="a0"/>
    <w:uiPriority w:val="99"/>
    <w:qFormat/>
    <w:pPr>
      <w:autoSpaceDE w:val="0"/>
      <w:autoSpaceDN w:val="0"/>
      <w:ind w:left="839" w:hanging="360"/>
      <w:jc w:val="left"/>
      <w:outlineLvl w:val="1"/>
    </w:pPr>
    <w:rPr>
      <w:rFonts w:ascii="宋体" w:hAnsi="宋体" w:cs="宋体"/>
      <w:b/>
      <w:bCs/>
      <w:kern w:val="0"/>
      <w:sz w:val="24"/>
      <w:szCs w:val="24"/>
      <w:lang w:eastAsia="en-US"/>
    </w:rPr>
  </w:style>
  <w:style w:type="paragraph" w:customStyle="1" w:styleId="DecimalAligned">
    <w:name w:val="Decimal Aligned"/>
    <w:basedOn w:val="a0"/>
    <w:uiPriority w:val="99"/>
    <w:qFormat/>
    <w:pPr>
      <w:widowControl/>
      <w:tabs>
        <w:tab w:val="decimal" w:pos="360"/>
      </w:tabs>
      <w:spacing w:after="200" w:line="276" w:lineRule="auto"/>
      <w:jc w:val="left"/>
    </w:pPr>
    <w:rPr>
      <w:kern w:val="0"/>
      <w:sz w:val="22"/>
    </w:rPr>
  </w:style>
  <w:style w:type="paragraph" w:customStyle="1" w:styleId="14">
    <w:name w:val="脚注文本1"/>
    <w:basedOn w:val="a0"/>
    <w:next w:val="af2"/>
    <w:link w:val="Char0"/>
    <w:uiPriority w:val="99"/>
    <w:qFormat/>
    <w:pPr>
      <w:widowControl/>
      <w:jc w:val="left"/>
    </w:pPr>
  </w:style>
  <w:style w:type="character" w:customStyle="1" w:styleId="Char0">
    <w:name w:val="脚注文本 Char"/>
    <w:link w:val="14"/>
    <w:uiPriority w:val="99"/>
    <w:qFormat/>
    <w:locked/>
    <w:rPr>
      <w:rFonts w:ascii="Calibri" w:eastAsia="宋体" w:hAnsi="Calibri" w:cs="Times New Roman"/>
    </w:rPr>
  </w:style>
  <w:style w:type="character" w:customStyle="1" w:styleId="15">
    <w:name w:val="不明显强调1"/>
    <w:uiPriority w:val="99"/>
    <w:qFormat/>
    <w:rPr>
      <w:rFonts w:cs="Times New Roman"/>
      <w:i/>
      <w:iCs/>
      <w:color w:val="000000"/>
    </w:rPr>
  </w:style>
  <w:style w:type="table" w:customStyle="1" w:styleId="-11">
    <w:name w:val="浅色底纹 - 着色 11"/>
    <w:uiPriority w:val="99"/>
    <w:qFormat/>
    <w:rPr>
      <w:color w:val="4F81BD"/>
      <w:sz w:val="22"/>
    </w:rPr>
    <w:tblPr>
      <w:tblBorders>
        <w:top w:val="single" w:sz="8" w:space="0" w:color="4F81BD"/>
        <w:bottom w:val="single" w:sz="8" w:space="0" w:color="4F81BD"/>
      </w:tblBorders>
      <w:tblCellMar>
        <w:top w:w="0" w:type="dxa"/>
        <w:left w:w="108" w:type="dxa"/>
        <w:bottom w:w="0" w:type="dxa"/>
        <w:right w:w="108" w:type="dxa"/>
      </w:tblCellMar>
    </w:tblPr>
  </w:style>
  <w:style w:type="character" w:customStyle="1" w:styleId="af3">
    <w:name w:val="脚注文本 字符"/>
    <w:link w:val="af2"/>
    <w:uiPriority w:val="99"/>
    <w:semiHidden/>
    <w:qFormat/>
    <w:locked/>
    <w:rPr>
      <w:rFonts w:cs="Times New Roman"/>
      <w:sz w:val="18"/>
      <w:szCs w:val="18"/>
    </w:rPr>
  </w:style>
  <w:style w:type="character" w:customStyle="1" w:styleId="22">
    <w:name w:val="不明显强调2"/>
    <w:uiPriority w:val="99"/>
    <w:qFormat/>
    <w:rPr>
      <w:rFonts w:cs="Times New Roman"/>
      <w:i/>
      <w:iCs/>
      <w:color w:val="404040"/>
    </w:rPr>
  </w:style>
  <w:style w:type="table" w:customStyle="1" w:styleId="-110">
    <w:name w:val="浅色底纹 - 强调文字颜色 11"/>
    <w:uiPriority w:val="99"/>
    <w:semiHidden/>
    <w:qFormat/>
    <w:rPr>
      <w:color w:val="2E74B5"/>
    </w:rPr>
    <w:tblPr>
      <w:tblBorders>
        <w:top w:val="single" w:sz="8" w:space="0" w:color="5B9BD5"/>
        <w:bottom w:val="single" w:sz="8" w:space="0" w:color="5B9BD5"/>
      </w:tblBorders>
      <w:tblCellMar>
        <w:top w:w="0" w:type="dxa"/>
        <w:left w:w="108" w:type="dxa"/>
        <w:bottom w:w="0" w:type="dxa"/>
        <w:right w:w="108" w:type="dxa"/>
      </w:tblCellMar>
    </w:tblPr>
  </w:style>
  <w:style w:type="paragraph" w:customStyle="1" w:styleId="23">
    <w:name w:val="修订2"/>
    <w:hidden/>
    <w:uiPriority w:val="99"/>
    <w:semiHidden/>
    <w:qFormat/>
    <w:rPr>
      <w:rFonts w:ascii="Calibri" w:hAnsi="Calibri"/>
      <w:kern w:val="2"/>
      <w:sz w:val="21"/>
      <w:szCs w:val="22"/>
    </w:rPr>
  </w:style>
  <w:style w:type="character" w:customStyle="1" w:styleId="a5">
    <w:name w:val="文档结构图 字符"/>
    <w:link w:val="a4"/>
    <w:uiPriority w:val="99"/>
    <w:semiHidden/>
    <w:qFormat/>
    <w:locked/>
    <w:rPr>
      <w:rFonts w:ascii="宋体" w:eastAsia="宋体" w:cs="Times New Roman"/>
      <w:sz w:val="18"/>
      <w:szCs w:val="18"/>
    </w:r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30">
    <w:name w:val="修订3"/>
    <w:hidden/>
    <w:uiPriority w:val="99"/>
    <w:unhideWhenUsed/>
    <w:qFormat/>
    <w:rPr>
      <w:rFonts w:ascii="Calibri" w:hAnsi="Calibri"/>
      <w:kern w:val="2"/>
      <w:sz w:val="21"/>
      <w:szCs w:val="22"/>
    </w:rPr>
  </w:style>
  <w:style w:type="character" w:customStyle="1" w:styleId="cf01">
    <w:name w:val="cf01"/>
    <w:basedOn w:val="a1"/>
    <w:qFormat/>
    <w:rPr>
      <w:rFonts w:ascii="Microsoft YaHei UI" w:eastAsia="Microsoft YaHei UI" w:hAnsi="Microsoft YaHei UI" w:hint="eastAsia"/>
      <w:sz w:val="18"/>
      <w:szCs w:val="18"/>
    </w:rPr>
  </w:style>
  <w:style w:type="character" w:customStyle="1" w:styleId="10">
    <w:name w:val="标题 1 字符"/>
    <w:basedOn w:val="a1"/>
    <w:link w:val="1"/>
    <w:qFormat/>
    <w:rPr>
      <w:rFonts w:ascii="Calibri" w:eastAsia="宋体" w:hAnsi="Calibri" w:cs="Times New Roman"/>
      <w:b/>
      <w:bCs/>
      <w:kern w:val="44"/>
      <w:sz w:val="44"/>
      <w:szCs w:val="44"/>
    </w:rPr>
  </w:style>
  <w:style w:type="paragraph" w:customStyle="1" w:styleId="42">
    <w:name w:val="修订4"/>
    <w:hidden/>
    <w:uiPriority w:val="99"/>
    <w:unhideWhenUsed/>
    <w:qFormat/>
    <w:rPr>
      <w:rFonts w:ascii="Calibri" w:hAnsi="Calibri"/>
      <w:kern w:val="2"/>
      <w:sz w:val="21"/>
      <w:szCs w:val="22"/>
    </w:rPr>
  </w:style>
  <w:style w:type="paragraph" w:customStyle="1" w:styleId="50">
    <w:name w:val="修订5"/>
    <w:hidden/>
    <w:uiPriority w:val="99"/>
    <w:unhideWhenUsed/>
    <w:qFormat/>
    <w:rPr>
      <w:rFonts w:ascii="Calibri" w:hAnsi="Calibri"/>
      <w:kern w:val="2"/>
      <w:sz w:val="21"/>
      <w:szCs w:val="22"/>
    </w:rPr>
  </w:style>
  <w:style w:type="character" w:customStyle="1" w:styleId="af6">
    <w:name w:val="标题 字符"/>
    <w:basedOn w:val="a1"/>
    <w:link w:val="af5"/>
    <w:qFormat/>
    <w:rPr>
      <w:rFonts w:asciiTheme="majorHAnsi" w:eastAsiaTheme="majorEastAsia" w:hAnsiTheme="majorHAnsi" w:cstheme="majorBidi"/>
      <w:b/>
      <w:bCs/>
      <w:kern w:val="2"/>
      <w:sz w:val="32"/>
      <w:szCs w:val="32"/>
    </w:rPr>
  </w:style>
  <w:style w:type="paragraph" w:styleId="aff1">
    <w:name w:val="Revision"/>
    <w:hidden/>
    <w:uiPriority w:val="99"/>
    <w:unhideWhenUsed/>
    <w:rsid w:val="00F66B3A"/>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3.jpeg"/><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BB3E0A-8D0A-470E-9708-A10EAD664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18</Pages>
  <Words>1540</Words>
  <Characters>8781</Characters>
  <Application>Microsoft Office Word</Application>
  <DocSecurity>0</DocSecurity>
  <Lines>73</Lines>
  <Paragraphs>20</Paragraphs>
  <ScaleCrop>false</ScaleCrop>
  <Company>云销供应链科技（广州）有限公司</Company>
  <LinksUpToDate>false</LinksUpToDate>
  <CharactersWithSpaces>10301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yi</dc:creator>
  <cp:lastModifiedBy>0815</cp:lastModifiedBy>
  <cp:revision>4582</cp:revision>
  <dcterms:created xsi:type="dcterms:W3CDTF">2021-03-08T05:15:00Z</dcterms:created>
  <dcterms:modified xsi:type="dcterms:W3CDTF">2025-02-24T04:58:00Z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12311293D6D54F15ABAFECED5301E251_13</vt:lpwstr>
  </property>
  <property fmtid="{D5CDD505-2E9C-101B-9397-08002B2CF9AE}" pid="4" name="KSOTemplateDocerSaveRecord">
    <vt:lpwstr>eyJoZGlkIjoiOTg1ODExYTJhYzhkMTE0YzI2OGRiNWRhMjljNWNjOTgiLCJ1c2VySWQiOiIzNTI3NjM3MjkifQ==</vt:lpwstr>
  </property>
</Properties>
</file>